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04DD9" w14:textId="5B8BC0C5" w:rsidR="00107234" w:rsidRPr="00B64BF7" w:rsidRDefault="006237EC">
      <w:pPr>
        <w:rPr>
          <w:rFonts w:asciiTheme="majorEastAsia" w:eastAsiaTheme="majorEastAsia" w:hAnsiTheme="majorEastAsia"/>
        </w:rPr>
      </w:pPr>
      <w:r w:rsidRPr="00B64BF7">
        <w:rPr>
          <w:rFonts w:asciiTheme="majorEastAsia" w:eastAsiaTheme="majorEastAsia" w:hAnsiTheme="majorEastAsia" w:hint="eastAsia"/>
        </w:rPr>
        <w:t>ノルウェー市民社会連合　事前質問事項前のパラレポ</w:t>
      </w:r>
    </w:p>
    <w:p w14:paraId="1E337D3A" w14:textId="777DBEDE" w:rsidR="004A3A98" w:rsidRPr="00B64BF7" w:rsidRDefault="009D2036">
      <w:pPr>
        <w:rPr>
          <w:rFonts w:asciiTheme="majorEastAsia" w:eastAsiaTheme="majorEastAsia" w:hAnsiTheme="majorEastAsia"/>
          <w:sz w:val="28"/>
          <w:szCs w:val="28"/>
        </w:rPr>
      </w:pPr>
      <w:r w:rsidRPr="00B64BF7">
        <w:rPr>
          <w:rFonts w:asciiTheme="majorEastAsia" w:eastAsiaTheme="majorEastAsia" w:hAnsiTheme="majorEastAsia" w:hint="eastAsia"/>
          <w:sz w:val="28"/>
          <w:szCs w:val="28"/>
        </w:rPr>
        <w:t>ノルウェー</w:t>
      </w:r>
      <w:r w:rsidR="00304744" w:rsidRPr="00B64BF7">
        <w:rPr>
          <w:rFonts w:asciiTheme="majorEastAsia" w:eastAsiaTheme="majorEastAsia" w:hAnsiTheme="majorEastAsia" w:hint="eastAsia"/>
          <w:sz w:val="28"/>
          <w:szCs w:val="28"/>
        </w:rPr>
        <w:t>の</w:t>
      </w:r>
      <w:r w:rsidR="000C0394" w:rsidRPr="00B64BF7">
        <w:rPr>
          <w:rFonts w:asciiTheme="majorEastAsia" w:eastAsiaTheme="majorEastAsia" w:hAnsiTheme="majorEastAsia" w:hint="eastAsia"/>
          <w:sz w:val="28"/>
          <w:szCs w:val="28"/>
        </w:rPr>
        <w:t>初回</w:t>
      </w:r>
      <w:r w:rsidRPr="00B64BF7">
        <w:rPr>
          <w:rFonts w:asciiTheme="majorEastAsia" w:eastAsiaTheme="majorEastAsia" w:hAnsiTheme="majorEastAsia" w:hint="eastAsia"/>
          <w:sz w:val="28"/>
          <w:szCs w:val="28"/>
        </w:rPr>
        <w:t>報告</w:t>
      </w:r>
      <w:r w:rsidR="00927FDF" w:rsidRPr="00B64BF7">
        <w:rPr>
          <w:rFonts w:asciiTheme="majorEastAsia" w:eastAsiaTheme="majorEastAsia" w:hAnsiTheme="majorEastAsia" w:hint="eastAsia"/>
          <w:sz w:val="28"/>
          <w:szCs w:val="28"/>
        </w:rPr>
        <w:t>への</w:t>
      </w:r>
      <w:r w:rsidRPr="00B64BF7">
        <w:rPr>
          <w:rFonts w:asciiTheme="majorEastAsia" w:eastAsiaTheme="majorEastAsia" w:hAnsiTheme="majorEastAsia" w:hint="eastAsia"/>
          <w:sz w:val="28"/>
          <w:szCs w:val="28"/>
        </w:rPr>
        <w:t>事前質問事項</w:t>
      </w:r>
      <w:r w:rsidR="000C0394" w:rsidRPr="00B64BF7">
        <w:rPr>
          <w:rFonts w:asciiTheme="majorEastAsia" w:eastAsiaTheme="majorEastAsia" w:hAnsiTheme="majorEastAsia" w:hint="eastAsia"/>
          <w:sz w:val="28"/>
          <w:szCs w:val="28"/>
        </w:rPr>
        <w:t>に</w:t>
      </w:r>
      <w:r w:rsidR="00927FDF" w:rsidRPr="00B64BF7">
        <w:rPr>
          <w:rFonts w:asciiTheme="majorEastAsia" w:eastAsiaTheme="majorEastAsia" w:hAnsiTheme="majorEastAsia" w:hint="eastAsia"/>
          <w:sz w:val="28"/>
          <w:szCs w:val="28"/>
        </w:rPr>
        <w:t>関する</w:t>
      </w:r>
      <w:r w:rsidR="000E3951" w:rsidRPr="00B64BF7">
        <w:rPr>
          <w:rFonts w:asciiTheme="majorEastAsia" w:eastAsiaTheme="majorEastAsia" w:hAnsiTheme="majorEastAsia" w:hint="eastAsia"/>
          <w:sz w:val="28"/>
          <w:szCs w:val="28"/>
        </w:rPr>
        <w:t>、</w:t>
      </w:r>
      <w:r w:rsidR="000C0394" w:rsidRPr="00B64BF7">
        <w:rPr>
          <w:rFonts w:asciiTheme="majorEastAsia" w:eastAsiaTheme="majorEastAsia" w:hAnsiTheme="majorEastAsia" w:hint="eastAsia"/>
          <w:sz w:val="28"/>
          <w:szCs w:val="28"/>
        </w:rPr>
        <w:t>市民社会から</w:t>
      </w:r>
      <w:r w:rsidR="00C95001" w:rsidRPr="00B64BF7">
        <w:rPr>
          <w:rFonts w:asciiTheme="majorEastAsia" w:eastAsiaTheme="majorEastAsia" w:hAnsiTheme="majorEastAsia" w:hint="eastAsia"/>
          <w:sz w:val="28"/>
          <w:szCs w:val="28"/>
        </w:rPr>
        <w:t>国連</w:t>
      </w:r>
      <w:r w:rsidR="000C0394" w:rsidRPr="00B64BF7">
        <w:rPr>
          <w:rFonts w:asciiTheme="majorEastAsia" w:eastAsiaTheme="majorEastAsia" w:hAnsiTheme="majorEastAsia" w:hint="eastAsia"/>
          <w:sz w:val="28"/>
          <w:szCs w:val="28"/>
        </w:rPr>
        <w:t>障害者権利委員会への</w:t>
      </w:r>
      <w:r w:rsidRPr="00B64BF7">
        <w:rPr>
          <w:rFonts w:asciiTheme="majorEastAsia" w:eastAsiaTheme="majorEastAsia" w:hAnsiTheme="majorEastAsia" w:hint="eastAsia"/>
          <w:sz w:val="28"/>
          <w:szCs w:val="28"/>
        </w:rPr>
        <w:t>提案</w:t>
      </w:r>
    </w:p>
    <w:p w14:paraId="3857E12E" w14:textId="24205C17" w:rsidR="009D2036" w:rsidRDefault="006237EC">
      <w:r w:rsidRPr="006237EC">
        <w:t>The Civil Society Coalition Norway</w:t>
      </w:r>
    </w:p>
    <w:p w14:paraId="3C943644" w14:textId="2C862533" w:rsidR="006237EC" w:rsidRPr="00B64BF7" w:rsidRDefault="006237EC">
      <w:pPr>
        <w:rPr>
          <w:rFonts w:asciiTheme="majorEastAsia" w:eastAsiaTheme="majorEastAsia" w:hAnsiTheme="majorEastAsia"/>
        </w:rPr>
      </w:pPr>
      <w:r w:rsidRPr="00B64BF7">
        <w:rPr>
          <w:rFonts w:asciiTheme="majorEastAsia" w:eastAsiaTheme="majorEastAsia" w:hAnsiTheme="majorEastAsia"/>
        </w:rPr>
        <w:t>2018</w:t>
      </w:r>
      <w:r w:rsidRPr="00B64BF7">
        <w:rPr>
          <w:rFonts w:asciiTheme="majorEastAsia" w:eastAsiaTheme="majorEastAsia" w:hAnsiTheme="majorEastAsia" w:hint="eastAsia"/>
        </w:rPr>
        <w:t>年</w:t>
      </w:r>
      <w:r w:rsidRPr="00B64BF7">
        <w:rPr>
          <w:rFonts w:asciiTheme="majorEastAsia" w:eastAsiaTheme="majorEastAsia" w:hAnsiTheme="majorEastAsia"/>
        </w:rPr>
        <w:t>6</w:t>
      </w:r>
      <w:r w:rsidRPr="00B64BF7">
        <w:rPr>
          <w:rFonts w:asciiTheme="majorEastAsia" w:eastAsiaTheme="majorEastAsia" w:hAnsiTheme="majorEastAsia" w:hint="eastAsia"/>
        </w:rPr>
        <w:t>月</w:t>
      </w:r>
    </w:p>
    <w:p w14:paraId="4DB58815" w14:textId="77777777" w:rsidR="006237EC" w:rsidRDefault="006237EC" w:rsidP="006237EC">
      <w:pPr>
        <w:jc w:val="right"/>
        <w:rPr>
          <w:rFonts w:asciiTheme="majorEastAsia" w:eastAsiaTheme="majorEastAsia" w:hAnsiTheme="majorEastAsia"/>
        </w:rPr>
      </w:pPr>
      <w:r>
        <w:rPr>
          <w:rFonts w:asciiTheme="majorEastAsia" w:eastAsiaTheme="majorEastAsia" w:hAnsiTheme="majorEastAsia" w:hint="eastAsia"/>
        </w:rPr>
        <w:t>日本障害フォーラム（JDF</w:t>
      </w:r>
      <w:r>
        <w:rPr>
          <w:rFonts w:asciiTheme="majorEastAsia" w:eastAsiaTheme="majorEastAsia" w:hAnsiTheme="majorEastAsia"/>
        </w:rPr>
        <w:t>）</w:t>
      </w:r>
      <w:r>
        <w:rPr>
          <w:rFonts w:asciiTheme="majorEastAsia" w:eastAsiaTheme="majorEastAsia" w:hAnsiTheme="majorEastAsia" w:hint="eastAsia"/>
        </w:rPr>
        <w:t>による仮訳</w:t>
      </w:r>
    </w:p>
    <w:p w14:paraId="48327568" w14:textId="77777777" w:rsidR="006237EC" w:rsidRDefault="006237EC" w:rsidP="006237EC">
      <w:pPr>
        <w:rPr>
          <w:rFonts w:asciiTheme="majorEastAsia" w:eastAsiaTheme="majorEastAsia" w:hAnsiTheme="majorEastAsia"/>
        </w:rPr>
      </w:pPr>
    </w:p>
    <w:p w14:paraId="314DD452" w14:textId="77777777" w:rsidR="006237EC" w:rsidRPr="006237EC" w:rsidRDefault="006237EC"/>
    <w:p w14:paraId="1E6663A6" w14:textId="08799D4D" w:rsidR="009D2036" w:rsidRPr="00B64BF7" w:rsidRDefault="009D2036">
      <w:pPr>
        <w:rPr>
          <w:rFonts w:asciiTheme="majorEastAsia" w:eastAsiaTheme="majorEastAsia" w:hAnsiTheme="majorEastAsia"/>
        </w:rPr>
      </w:pPr>
      <w:r w:rsidRPr="00B64BF7">
        <w:rPr>
          <w:rFonts w:asciiTheme="majorEastAsia" w:eastAsiaTheme="majorEastAsia" w:hAnsiTheme="majorEastAsia" w:hint="eastAsia"/>
        </w:rPr>
        <w:t>序論</w:t>
      </w:r>
    </w:p>
    <w:p w14:paraId="5909AB26" w14:textId="0DA3FFC0" w:rsidR="009D2036" w:rsidRDefault="000E3951">
      <w:r>
        <w:rPr>
          <w:rFonts w:hint="eastAsia"/>
        </w:rPr>
        <w:t>本提案により、ノルウェー市民社会は、国連障害者権利委員会に提出された</w:t>
      </w:r>
      <w:r w:rsidR="00C95001">
        <w:rPr>
          <w:rFonts w:hint="eastAsia"/>
        </w:rPr>
        <w:t>ノルウェーの初回</w:t>
      </w:r>
      <w:r>
        <w:rPr>
          <w:rFonts w:hint="eastAsia"/>
        </w:rPr>
        <w:t>報告の審査に向けた事前質問事項に関</w:t>
      </w:r>
      <w:r w:rsidR="00C95001">
        <w:rPr>
          <w:rFonts w:hint="eastAsia"/>
        </w:rPr>
        <w:t>する</w:t>
      </w:r>
      <w:r>
        <w:rPr>
          <w:rFonts w:hint="eastAsia"/>
        </w:rPr>
        <w:t>情報を提供する。本提案は、ノルウェー国内の障害</w:t>
      </w:r>
      <w:r w:rsidR="008A60CE">
        <w:rPr>
          <w:rFonts w:hint="eastAsia"/>
        </w:rPr>
        <w:t>者</w:t>
      </w:r>
      <w:r>
        <w:rPr>
          <w:rFonts w:hint="eastAsia"/>
        </w:rPr>
        <w:t>団体及びその他の市民社会団体</w:t>
      </w:r>
      <w:r w:rsidR="008A60CE">
        <w:rPr>
          <w:rFonts w:hint="eastAsia"/>
        </w:rPr>
        <w:t>の</w:t>
      </w:r>
      <w:r>
        <w:rPr>
          <w:rFonts w:hint="eastAsia"/>
        </w:rPr>
        <w:t>広範な協力に基づ</w:t>
      </w:r>
      <w:r w:rsidR="008227B9">
        <w:rPr>
          <w:rFonts w:hint="eastAsia"/>
        </w:rPr>
        <w:t>くものであ</w:t>
      </w:r>
      <w:r>
        <w:rPr>
          <w:rFonts w:hint="eastAsia"/>
        </w:rPr>
        <w:t>る。これらの団体もまた、</w:t>
      </w:r>
      <w:r w:rsidR="008A60CE">
        <w:rPr>
          <w:rFonts w:hint="eastAsia"/>
        </w:rPr>
        <w:t>今後</w:t>
      </w:r>
      <w:r>
        <w:rPr>
          <w:rFonts w:hint="eastAsia"/>
        </w:rPr>
        <w:t>権利委員会に対し、総合的な代替</w:t>
      </w:r>
      <w:r w:rsidR="00C95001">
        <w:rPr>
          <w:rFonts w:hint="eastAsia"/>
        </w:rPr>
        <w:t>報告</w:t>
      </w:r>
      <w:r>
        <w:rPr>
          <w:rFonts w:hint="eastAsia"/>
        </w:rPr>
        <w:t>を提出する</w:t>
      </w:r>
      <w:r w:rsidR="009F25AA">
        <w:rPr>
          <w:rFonts w:hint="eastAsia"/>
        </w:rPr>
        <w:t>であろう。</w:t>
      </w:r>
    </w:p>
    <w:p w14:paraId="62F7B475" w14:textId="77777777" w:rsidR="009F25AA" w:rsidRDefault="009F25AA"/>
    <w:p w14:paraId="53D2DCAC" w14:textId="5AF6EF70" w:rsidR="009F25AA" w:rsidRDefault="009F25AA">
      <w:r>
        <w:rPr>
          <w:rFonts w:hint="eastAsia"/>
        </w:rPr>
        <w:t>これらの団体</w:t>
      </w:r>
      <w:r w:rsidR="008A60CE">
        <w:rPr>
          <w:rFonts w:hint="eastAsia"/>
        </w:rPr>
        <w:t>と</w:t>
      </w:r>
      <w:r>
        <w:rPr>
          <w:rFonts w:hint="eastAsia"/>
        </w:rPr>
        <w:t>は、統括団体</w:t>
      </w:r>
      <w:r w:rsidR="008A60CE">
        <w:rPr>
          <w:rFonts w:hint="eastAsia"/>
        </w:rPr>
        <w:t>4</w:t>
      </w:r>
      <w:r w:rsidR="008A60CE">
        <w:rPr>
          <w:rFonts w:hint="eastAsia"/>
        </w:rPr>
        <w:t>団体</w:t>
      </w:r>
      <w:r>
        <w:rPr>
          <w:rFonts w:hint="eastAsia"/>
        </w:rPr>
        <w:t>とそれ以外の</w:t>
      </w:r>
      <w:r>
        <w:rPr>
          <w:rFonts w:hint="eastAsia"/>
        </w:rPr>
        <w:t>10</w:t>
      </w:r>
      <w:r>
        <w:rPr>
          <w:rFonts w:hint="eastAsia"/>
        </w:rPr>
        <w:t>団体である。統括団体</w:t>
      </w:r>
      <w:r w:rsidR="008A60CE">
        <w:rPr>
          <w:rFonts w:hint="eastAsia"/>
        </w:rPr>
        <w:t>と</w:t>
      </w:r>
      <w:r>
        <w:rPr>
          <w:rFonts w:hint="eastAsia"/>
        </w:rPr>
        <w:t>は、</w:t>
      </w:r>
      <w:r w:rsidR="0065221D">
        <w:rPr>
          <w:rFonts w:hint="eastAsia"/>
        </w:rPr>
        <w:t>82</w:t>
      </w:r>
      <w:r w:rsidR="0065221D">
        <w:rPr>
          <w:rFonts w:hint="eastAsia"/>
        </w:rPr>
        <w:t>団体が加盟するノルウェー障害者団体連盟（</w:t>
      </w:r>
      <w:r w:rsidR="0065221D">
        <w:rPr>
          <w:rFonts w:hint="eastAsia"/>
        </w:rPr>
        <w:t>FFO</w:t>
      </w:r>
      <w:r w:rsidR="0065221D">
        <w:rPr>
          <w:rFonts w:hint="eastAsia"/>
        </w:rPr>
        <w:t>）、</w:t>
      </w:r>
      <w:r w:rsidR="0065221D">
        <w:rPr>
          <w:rFonts w:hint="eastAsia"/>
        </w:rPr>
        <w:t>3</w:t>
      </w:r>
      <w:r w:rsidR="0065221D">
        <w:rPr>
          <w:rFonts w:hint="eastAsia"/>
        </w:rPr>
        <w:t>団体が加盟するノルウェー障害者団体フォーラム（</w:t>
      </w:r>
      <w:r w:rsidR="0065221D">
        <w:rPr>
          <w:rFonts w:hint="eastAsia"/>
        </w:rPr>
        <w:t>SAFO</w:t>
      </w:r>
      <w:r w:rsidR="0065221D">
        <w:rPr>
          <w:rFonts w:hint="eastAsia"/>
        </w:rPr>
        <w:t>）、</w:t>
      </w:r>
      <w:r w:rsidR="0065221D">
        <w:rPr>
          <w:rFonts w:hint="eastAsia"/>
        </w:rPr>
        <w:t>35</w:t>
      </w:r>
      <w:r w:rsidR="0065221D">
        <w:rPr>
          <w:rFonts w:hint="eastAsia"/>
        </w:rPr>
        <w:t>団体が加盟するノルウェー障害青年協会及び</w:t>
      </w:r>
      <w:r w:rsidR="0065221D">
        <w:rPr>
          <w:rFonts w:hint="eastAsia"/>
        </w:rPr>
        <w:t>13</w:t>
      </w:r>
      <w:r w:rsidR="0065221D">
        <w:rPr>
          <w:rFonts w:hint="eastAsia"/>
        </w:rPr>
        <w:t>団体が加盟するアトラス</w:t>
      </w:r>
      <w:r w:rsidR="00B026C6">
        <w:rPr>
          <w:rFonts w:hint="eastAsia"/>
        </w:rPr>
        <w:t>・アライアンス</w:t>
      </w:r>
      <w:r w:rsidR="0065221D">
        <w:rPr>
          <w:rFonts w:hint="eastAsia"/>
        </w:rPr>
        <w:t>である。アトラス</w:t>
      </w:r>
      <w:r w:rsidR="00B026C6">
        <w:rPr>
          <w:rFonts w:hint="eastAsia"/>
        </w:rPr>
        <w:t>・アライアンス</w:t>
      </w:r>
      <w:r w:rsidR="0065221D">
        <w:rPr>
          <w:rFonts w:hint="eastAsia"/>
        </w:rPr>
        <w:t>は</w:t>
      </w:r>
      <w:r w:rsidR="008A60CE">
        <w:rPr>
          <w:rFonts w:hint="eastAsia"/>
        </w:rPr>
        <w:t>、</w:t>
      </w:r>
      <w:r w:rsidR="0065221D">
        <w:rPr>
          <w:rFonts w:hint="eastAsia"/>
        </w:rPr>
        <w:t>国際活動に</w:t>
      </w:r>
      <w:r w:rsidR="008227B9">
        <w:rPr>
          <w:rFonts w:hint="eastAsia"/>
        </w:rPr>
        <w:t>従事する</w:t>
      </w:r>
      <w:r w:rsidR="0065221D">
        <w:rPr>
          <w:rFonts w:hint="eastAsia"/>
        </w:rPr>
        <w:t>障害者団体から</w:t>
      </w:r>
      <w:r w:rsidR="008A60CE">
        <w:rPr>
          <w:rFonts w:hint="eastAsia"/>
        </w:rPr>
        <w:t>成る統括団体である。一部の団体は</w:t>
      </w:r>
      <w:r w:rsidR="0065221D">
        <w:rPr>
          <w:rFonts w:hint="eastAsia"/>
        </w:rPr>
        <w:t>複数の統括団体に加盟している。</w:t>
      </w:r>
    </w:p>
    <w:p w14:paraId="5B68891A" w14:textId="77777777" w:rsidR="0065221D" w:rsidRDefault="0065221D"/>
    <w:p w14:paraId="54608362" w14:textId="5679836F" w:rsidR="0065221D" w:rsidRDefault="0065221D">
      <w:r>
        <w:rPr>
          <w:rFonts w:hint="eastAsia"/>
        </w:rPr>
        <w:t>ほとんどの団体</w:t>
      </w:r>
      <w:r w:rsidR="00C322A0">
        <w:rPr>
          <w:rFonts w:hint="eastAsia"/>
        </w:rPr>
        <w:t>は</w:t>
      </w:r>
      <w:r>
        <w:rPr>
          <w:rFonts w:hint="eastAsia"/>
        </w:rPr>
        <w:t>、</w:t>
      </w:r>
      <w:r w:rsidR="00C322A0">
        <w:rPr>
          <w:rFonts w:hint="eastAsia"/>
        </w:rPr>
        <w:t>障害のある人が全</w:t>
      </w:r>
      <w:r>
        <w:rPr>
          <w:rFonts w:hint="eastAsia"/>
        </w:rPr>
        <w:t>スタッフ、</w:t>
      </w:r>
      <w:r w:rsidR="00792EAD">
        <w:rPr>
          <w:rFonts w:hint="eastAsia"/>
        </w:rPr>
        <w:t>理事、ボランティア</w:t>
      </w:r>
      <w:r>
        <w:rPr>
          <w:rFonts w:hint="eastAsia"/>
        </w:rPr>
        <w:t>の</w:t>
      </w:r>
      <w:r w:rsidR="00C322A0">
        <w:rPr>
          <w:rFonts w:hint="eastAsia"/>
        </w:rPr>
        <w:t>大多数を占める代表団体であり、障害</w:t>
      </w:r>
      <w:r w:rsidR="00792EAD">
        <w:rPr>
          <w:rFonts w:hint="eastAsia"/>
        </w:rPr>
        <w:t>のある人</w:t>
      </w:r>
      <w:r w:rsidR="00C322A0">
        <w:rPr>
          <w:rFonts w:hint="eastAsia"/>
        </w:rPr>
        <w:t>が</w:t>
      </w:r>
      <w:r w:rsidR="00792EAD">
        <w:rPr>
          <w:rFonts w:hint="eastAsia"/>
        </w:rPr>
        <w:t>会員と</w:t>
      </w:r>
      <w:r w:rsidR="00C322A0">
        <w:rPr>
          <w:rFonts w:hint="eastAsia"/>
        </w:rPr>
        <w:t>なっている</w:t>
      </w:r>
      <w:r>
        <w:rPr>
          <w:rFonts w:hint="eastAsia"/>
        </w:rPr>
        <w:t>。</w:t>
      </w:r>
      <w:r w:rsidR="00792EAD">
        <w:rPr>
          <w:rFonts w:hint="eastAsia"/>
        </w:rPr>
        <w:t>団体の大半は、国及び地域</w:t>
      </w:r>
      <w:r w:rsidR="008227B9">
        <w:rPr>
          <w:rFonts w:hint="eastAsia"/>
        </w:rPr>
        <w:t>の両方の</w:t>
      </w:r>
      <w:r w:rsidR="00792EAD">
        <w:rPr>
          <w:rFonts w:hint="eastAsia"/>
        </w:rPr>
        <w:t>レベルで活動しており、</w:t>
      </w:r>
      <w:r w:rsidR="008227B9">
        <w:rPr>
          <w:rFonts w:hint="eastAsia"/>
        </w:rPr>
        <w:t>一部</w:t>
      </w:r>
      <w:r w:rsidR="00792EAD">
        <w:rPr>
          <w:rFonts w:hint="eastAsia"/>
        </w:rPr>
        <w:t>の団体は国際的に活動している。これらの団体の詳細なリスト</w:t>
      </w:r>
      <w:r w:rsidR="00792EAD">
        <w:rPr>
          <w:rStyle w:val="a8"/>
        </w:rPr>
        <w:endnoteReference w:id="1"/>
      </w:r>
      <w:r w:rsidR="00792EAD">
        <w:rPr>
          <w:rFonts w:hint="eastAsia"/>
        </w:rPr>
        <w:t>は</w:t>
      </w:r>
      <w:r w:rsidR="008A60CE">
        <w:rPr>
          <w:rFonts w:hint="eastAsia"/>
        </w:rPr>
        <w:t>以下</w:t>
      </w:r>
      <w:r w:rsidR="00792EAD">
        <w:rPr>
          <w:rFonts w:hint="eastAsia"/>
        </w:rPr>
        <w:t>のとおりである。</w:t>
      </w:r>
    </w:p>
    <w:p w14:paraId="159D37BF" w14:textId="77777777" w:rsidR="00792EAD" w:rsidRDefault="00792EAD"/>
    <w:p w14:paraId="4B705880" w14:textId="77777777" w:rsidR="00792EAD" w:rsidRDefault="00792EAD">
      <w:r>
        <w:rPr>
          <w:rFonts w:hint="eastAsia"/>
        </w:rPr>
        <w:t>ノルウェー障害者団体連盟（</w:t>
      </w:r>
      <w:r>
        <w:rPr>
          <w:rFonts w:hint="eastAsia"/>
        </w:rPr>
        <w:t>FFO</w:t>
      </w:r>
      <w:r>
        <w:rPr>
          <w:rFonts w:hint="eastAsia"/>
        </w:rPr>
        <w:t>）</w:t>
      </w:r>
    </w:p>
    <w:p w14:paraId="30001698" w14:textId="77777777" w:rsidR="00792EAD" w:rsidRDefault="001824DA">
      <w:r>
        <w:rPr>
          <w:rFonts w:hint="eastAsia"/>
        </w:rPr>
        <w:t>ノルウェー障害者団体フォーラム（</w:t>
      </w:r>
      <w:r>
        <w:rPr>
          <w:rFonts w:hint="eastAsia"/>
        </w:rPr>
        <w:t>SAFO</w:t>
      </w:r>
      <w:r>
        <w:rPr>
          <w:rFonts w:hint="eastAsia"/>
        </w:rPr>
        <w:t>）</w:t>
      </w:r>
    </w:p>
    <w:p w14:paraId="0E6F94DF" w14:textId="77777777" w:rsidR="001824DA" w:rsidRDefault="001824DA">
      <w:r>
        <w:rPr>
          <w:rFonts w:hint="eastAsia"/>
        </w:rPr>
        <w:t>ノルウェー障害青年協会</w:t>
      </w:r>
    </w:p>
    <w:p w14:paraId="69AEE5B5" w14:textId="76CAFC3F" w:rsidR="001824DA" w:rsidRDefault="001824DA">
      <w:r>
        <w:rPr>
          <w:rFonts w:hint="eastAsia"/>
        </w:rPr>
        <w:t>アトラス</w:t>
      </w:r>
      <w:r w:rsidR="00B026C6">
        <w:rPr>
          <w:rFonts w:hint="eastAsia"/>
        </w:rPr>
        <w:t>・アライアンス</w:t>
      </w:r>
    </w:p>
    <w:p w14:paraId="75AF4185" w14:textId="77777777" w:rsidR="001824DA" w:rsidRDefault="001824DA">
      <w:r>
        <w:rPr>
          <w:rFonts w:hint="eastAsia"/>
        </w:rPr>
        <w:t>差別禁止市民権財団</w:t>
      </w:r>
    </w:p>
    <w:p w14:paraId="5F717351" w14:textId="77777777" w:rsidR="001824DA" w:rsidRDefault="001824DA">
      <w:r>
        <w:rPr>
          <w:rFonts w:hint="eastAsia"/>
        </w:rPr>
        <w:t>ノルウェー反人種主義センター</w:t>
      </w:r>
    </w:p>
    <w:p w14:paraId="1E61C8C3" w14:textId="77777777" w:rsidR="001824DA" w:rsidRDefault="001824DA">
      <w:r>
        <w:rPr>
          <w:rFonts w:hint="eastAsia"/>
        </w:rPr>
        <w:t>ノルウェー保健協会</w:t>
      </w:r>
    </w:p>
    <w:p w14:paraId="285FAE9E" w14:textId="1EBCED15" w:rsidR="001824DA" w:rsidRDefault="001824DA">
      <w:r>
        <w:rPr>
          <w:rFonts w:hint="eastAsia"/>
        </w:rPr>
        <w:t>ノルウェー人道主義協会</w:t>
      </w:r>
    </w:p>
    <w:p w14:paraId="79BAABB3" w14:textId="77777777" w:rsidR="001824DA" w:rsidRDefault="001824DA">
      <w:r>
        <w:rPr>
          <w:rFonts w:hint="eastAsia"/>
        </w:rPr>
        <w:t>ノルウェー心理学会人権委員会</w:t>
      </w:r>
    </w:p>
    <w:p w14:paraId="0959FD19" w14:textId="77777777" w:rsidR="001824DA" w:rsidRDefault="001824DA">
      <w:r>
        <w:rPr>
          <w:rFonts w:hint="eastAsia"/>
        </w:rPr>
        <w:lastRenderedPageBreak/>
        <w:t>ノルウェー社会教育者・ソーシャルワーカー連合（</w:t>
      </w:r>
      <w:r>
        <w:rPr>
          <w:rFonts w:hint="eastAsia"/>
        </w:rPr>
        <w:t>FO</w:t>
      </w:r>
      <w:r>
        <w:rPr>
          <w:rFonts w:hint="eastAsia"/>
        </w:rPr>
        <w:t>）</w:t>
      </w:r>
    </w:p>
    <w:p w14:paraId="5C4F605A" w14:textId="77777777" w:rsidR="001824DA" w:rsidRPr="001824DA" w:rsidRDefault="001824DA">
      <w:r>
        <w:rPr>
          <w:rFonts w:hint="eastAsia"/>
        </w:rPr>
        <w:t>セーブ・ザ・チルドレン・ノルウェー</w:t>
      </w:r>
    </w:p>
    <w:p w14:paraId="6C304658" w14:textId="77777777" w:rsidR="001824DA" w:rsidRDefault="001824DA">
      <w:r>
        <w:t>SOR</w:t>
      </w:r>
      <w:r>
        <w:rPr>
          <w:rFonts w:hint="eastAsia"/>
        </w:rPr>
        <w:t>財団</w:t>
      </w:r>
    </w:p>
    <w:p w14:paraId="13077C28" w14:textId="77777777" w:rsidR="001824DA" w:rsidRPr="001824DA" w:rsidRDefault="004C01EB">
      <w:r>
        <w:rPr>
          <w:rFonts w:hint="eastAsia"/>
        </w:rPr>
        <w:t>視覚障害学会</w:t>
      </w:r>
    </w:p>
    <w:p w14:paraId="2132CA73" w14:textId="119C8DDD" w:rsidR="009D2036" w:rsidRPr="00A41CC5" w:rsidRDefault="00DC325D">
      <w:r>
        <w:rPr>
          <w:rFonts w:hint="eastAsia"/>
        </w:rPr>
        <w:t>ULOBA-</w:t>
      </w:r>
      <w:r w:rsidR="00A41CC5">
        <w:rPr>
          <w:rFonts w:hint="eastAsia"/>
        </w:rPr>
        <w:t>ノルウェー</w:t>
      </w:r>
      <w:r>
        <w:rPr>
          <w:rFonts w:hint="eastAsia"/>
        </w:rPr>
        <w:t>自立生活</w:t>
      </w:r>
      <w:r w:rsidR="00A41CC5">
        <w:rPr>
          <w:rFonts w:hint="eastAsia"/>
        </w:rPr>
        <w:t>支援団体</w:t>
      </w:r>
    </w:p>
    <w:p w14:paraId="348D4EEE" w14:textId="77777777" w:rsidR="00DC325D" w:rsidRDefault="00DC325D"/>
    <w:p w14:paraId="0ABE4532" w14:textId="40713AD9" w:rsidR="003E23E7" w:rsidRDefault="003E23E7">
      <w:pPr>
        <w:widowControl/>
        <w:jc w:val="left"/>
      </w:pPr>
      <w:r>
        <w:br w:type="page"/>
      </w:r>
    </w:p>
    <w:p w14:paraId="2C19E04C" w14:textId="77777777" w:rsidR="00DC325D" w:rsidRDefault="00DC325D">
      <w:r>
        <w:rPr>
          <w:rFonts w:hint="eastAsia"/>
        </w:rPr>
        <w:lastRenderedPageBreak/>
        <w:t>目次</w:t>
      </w:r>
    </w:p>
    <w:p w14:paraId="77BE834C" w14:textId="77777777" w:rsidR="00DC325D" w:rsidRDefault="00DC325D">
      <w:r>
        <w:rPr>
          <w:rFonts w:hint="eastAsia"/>
        </w:rPr>
        <w:t>序論</w:t>
      </w:r>
    </w:p>
    <w:p w14:paraId="62BFE395" w14:textId="77777777" w:rsidR="00DC325D" w:rsidRDefault="00DC325D" w:rsidP="00DC325D">
      <w:pPr>
        <w:pStyle w:val="af0"/>
        <w:numPr>
          <w:ilvl w:val="0"/>
          <w:numId w:val="1"/>
        </w:numPr>
        <w:ind w:leftChars="0"/>
      </w:pPr>
      <w:r>
        <w:rPr>
          <w:rFonts w:hint="eastAsia"/>
        </w:rPr>
        <w:t>主な懸念</w:t>
      </w:r>
    </w:p>
    <w:p w14:paraId="768AB766" w14:textId="4C0116DA" w:rsidR="00DC325D" w:rsidRDefault="00DC325D" w:rsidP="00DC325D">
      <w:pPr>
        <w:pStyle w:val="af0"/>
        <w:numPr>
          <w:ilvl w:val="0"/>
          <w:numId w:val="1"/>
        </w:numPr>
        <w:ind w:leftChars="0"/>
      </w:pPr>
      <w:r>
        <w:rPr>
          <w:rFonts w:hint="eastAsia"/>
        </w:rPr>
        <w:t>目的、一般原則及び一般的義務（第</w:t>
      </w:r>
      <w:r>
        <w:rPr>
          <w:rFonts w:hint="eastAsia"/>
        </w:rPr>
        <w:t>1</w:t>
      </w:r>
      <w:r>
        <w:rPr>
          <w:rFonts w:hint="eastAsia"/>
        </w:rPr>
        <w:t>条</w:t>
      </w:r>
      <w:r w:rsidR="00B40CC3">
        <w:rPr>
          <w:rFonts w:hint="eastAsia"/>
        </w:rPr>
        <w:t>～</w:t>
      </w:r>
      <w:r>
        <w:rPr>
          <w:rFonts w:hint="eastAsia"/>
        </w:rPr>
        <w:t>第</w:t>
      </w:r>
      <w:r>
        <w:rPr>
          <w:rFonts w:hint="eastAsia"/>
        </w:rPr>
        <w:t>4</w:t>
      </w:r>
      <w:r>
        <w:rPr>
          <w:rFonts w:hint="eastAsia"/>
        </w:rPr>
        <w:t>条）</w:t>
      </w:r>
    </w:p>
    <w:p w14:paraId="42AAAFF4" w14:textId="39D6BFDA" w:rsidR="00DC325D" w:rsidRDefault="00DC325D" w:rsidP="00DC325D">
      <w:pPr>
        <w:pStyle w:val="af0"/>
        <w:numPr>
          <w:ilvl w:val="0"/>
          <w:numId w:val="1"/>
        </w:numPr>
        <w:ind w:leftChars="0"/>
      </w:pPr>
      <w:r>
        <w:rPr>
          <w:rFonts w:hint="eastAsia"/>
        </w:rPr>
        <w:t>特定の権利（第</w:t>
      </w:r>
      <w:r>
        <w:rPr>
          <w:rFonts w:hint="eastAsia"/>
        </w:rPr>
        <w:t>5</w:t>
      </w:r>
      <w:r>
        <w:rPr>
          <w:rFonts w:hint="eastAsia"/>
        </w:rPr>
        <w:t>条</w:t>
      </w:r>
      <w:r w:rsidR="00B40CC3">
        <w:rPr>
          <w:rFonts w:hint="eastAsia"/>
        </w:rPr>
        <w:t>～</w:t>
      </w:r>
      <w:r>
        <w:rPr>
          <w:rFonts w:hint="eastAsia"/>
        </w:rPr>
        <w:t>第</w:t>
      </w:r>
      <w:r>
        <w:rPr>
          <w:rFonts w:hint="eastAsia"/>
        </w:rPr>
        <w:t>30</w:t>
      </w:r>
      <w:r>
        <w:rPr>
          <w:rFonts w:hint="eastAsia"/>
        </w:rPr>
        <w:t>条）</w:t>
      </w:r>
    </w:p>
    <w:p w14:paraId="292CECB3" w14:textId="77777777" w:rsidR="00DC325D" w:rsidRDefault="00DC325D" w:rsidP="00DC325D">
      <w:r>
        <w:rPr>
          <w:rFonts w:hint="eastAsia"/>
        </w:rPr>
        <w:t>第</w:t>
      </w:r>
      <w:r>
        <w:rPr>
          <w:rFonts w:hint="eastAsia"/>
        </w:rPr>
        <w:t>5</w:t>
      </w:r>
      <w:r>
        <w:rPr>
          <w:rFonts w:hint="eastAsia"/>
        </w:rPr>
        <w:t>条：平等及び無差別</w:t>
      </w:r>
    </w:p>
    <w:p w14:paraId="3B814653" w14:textId="77777777" w:rsidR="00DC325D" w:rsidRDefault="00DC325D" w:rsidP="00DC325D">
      <w:r>
        <w:rPr>
          <w:rFonts w:hint="eastAsia"/>
        </w:rPr>
        <w:t>第</w:t>
      </w:r>
      <w:r>
        <w:rPr>
          <w:rFonts w:hint="eastAsia"/>
        </w:rPr>
        <w:t>6</w:t>
      </w:r>
      <w:r>
        <w:rPr>
          <w:rFonts w:hint="eastAsia"/>
        </w:rPr>
        <w:t>条：障害のある女子</w:t>
      </w:r>
    </w:p>
    <w:p w14:paraId="6973B9F0" w14:textId="77777777" w:rsidR="00DC325D" w:rsidRDefault="00DC325D" w:rsidP="00DC325D">
      <w:r>
        <w:rPr>
          <w:rFonts w:hint="eastAsia"/>
        </w:rPr>
        <w:t>第</w:t>
      </w:r>
      <w:r>
        <w:rPr>
          <w:rFonts w:hint="eastAsia"/>
        </w:rPr>
        <w:t>7</w:t>
      </w:r>
      <w:r>
        <w:rPr>
          <w:rFonts w:hint="eastAsia"/>
        </w:rPr>
        <w:t>条：障害のある児童</w:t>
      </w:r>
    </w:p>
    <w:p w14:paraId="17B11996" w14:textId="77777777" w:rsidR="00DC325D" w:rsidRDefault="00DC325D" w:rsidP="00DC325D">
      <w:r>
        <w:rPr>
          <w:rFonts w:hint="eastAsia"/>
        </w:rPr>
        <w:t>第</w:t>
      </w:r>
      <w:r>
        <w:rPr>
          <w:rFonts w:hint="eastAsia"/>
        </w:rPr>
        <w:t>8</w:t>
      </w:r>
      <w:r>
        <w:rPr>
          <w:rFonts w:hint="eastAsia"/>
        </w:rPr>
        <w:t>条：意識の向上</w:t>
      </w:r>
    </w:p>
    <w:p w14:paraId="002F4A77" w14:textId="77777777" w:rsidR="00DC325D" w:rsidRDefault="00DC325D" w:rsidP="00DC325D">
      <w:r>
        <w:rPr>
          <w:rFonts w:hint="eastAsia"/>
        </w:rPr>
        <w:t>第</w:t>
      </w:r>
      <w:r>
        <w:rPr>
          <w:rFonts w:hint="eastAsia"/>
        </w:rPr>
        <w:t>9</w:t>
      </w:r>
      <w:r>
        <w:rPr>
          <w:rFonts w:hint="eastAsia"/>
        </w:rPr>
        <w:t>条：施設及びサービス等の利用の容易さ</w:t>
      </w:r>
    </w:p>
    <w:p w14:paraId="314868D6" w14:textId="77777777" w:rsidR="00DC325D" w:rsidRDefault="00DC325D" w:rsidP="00DC325D">
      <w:r>
        <w:rPr>
          <w:rFonts w:hint="eastAsia"/>
        </w:rPr>
        <w:t>第</w:t>
      </w:r>
      <w:r>
        <w:rPr>
          <w:rFonts w:hint="eastAsia"/>
        </w:rPr>
        <w:t>11</w:t>
      </w:r>
      <w:r>
        <w:rPr>
          <w:rFonts w:hint="eastAsia"/>
        </w:rPr>
        <w:t>条：危険な状況及び人道上の緊急事態</w:t>
      </w:r>
    </w:p>
    <w:p w14:paraId="41EA96A9" w14:textId="77777777" w:rsidR="00DC325D" w:rsidRDefault="00DC325D" w:rsidP="00DC325D">
      <w:r>
        <w:rPr>
          <w:rFonts w:hint="eastAsia"/>
        </w:rPr>
        <w:t>第</w:t>
      </w:r>
      <w:r>
        <w:rPr>
          <w:rFonts w:hint="eastAsia"/>
        </w:rPr>
        <w:t>12</w:t>
      </w:r>
      <w:r>
        <w:rPr>
          <w:rFonts w:hint="eastAsia"/>
        </w:rPr>
        <w:t>条：法律の前にひとしく認められる権利</w:t>
      </w:r>
    </w:p>
    <w:p w14:paraId="5FA2AD1B" w14:textId="77777777" w:rsidR="00DC325D" w:rsidRDefault="00DC325D" w:rsidP="00DC325D">
      <w:r>
        <w:rPr>
          <w:rFonts w:hint="eastAsia"/>
        </w:rPr>
        <w:t>第</w:t>
      </w:r>
      <w:r>
        <w:rPr>
          <w:rFonts w:hint="eastAsia"/>
        </w:rPr>
        <w:t>13</w:t>
      </w:r>
      <w:r>
        <w:rPr>
          <w:rFonts w:hint="eastAsia"/>
        </w:rPr>
        <w:t>条：司法手続の利用の機会</w:t>
      </w:r>
    </w:p>
    <w:p w14:paraId="7ED7CB3B" w14:textId="77777777" w:rsidR="00DC325D" w:rsidRDefault="00DC325D" w:rsidP="00DC325D">
      <w:r>
        <w:rPr>
          <w:rFonts w:hint="eastAsia"/>
        </w:rPr>
        <w:t>第</w:t>
      </w:r>
      <w:r>
        <w:rPr>
          <w:rFonts w:hint="eastAsia"/>
        </w:rPr>
        <w:t>14</w:t>
      </w:r>
      <w:r>
        <w:rPr>
          <w:rFonts w:hint="eastAsia"/>
        </w:rPr>
        <w:t>条：身体の自由及び安全</w:t>
      </w:r>
    </w:p>
    <w:p w14:paraId="379CA240" w14:textId="77777777" w:rsidR="00DC325D" w:rsidRDefault="00DC325D" w:rsidP="00DC325D">
      <w:r>
        <w:rPr>
          <w:rFonts w:hint="eastAsia"/>
        </w:rPr>
        <w:t>第</w:t>
      </w:r>
      <w:r>
        <w:rPr>
          <w:rFonts w:hint="eastAsia"/>
        </w:rPr>
        <w:t>15</w:t>
      </w:r>
      <w:r>
        <w:rPr>
          <w:rFonts w:hint="eastAsia"/>
        </w:rPr>
        <w:t>条：拷問又は残虐な、非人道的な若しくは品位を傷つける取扱い若しくは刑罰からの自由</w:t>
      </w:r>
    </w:p>
    <w:p w14:paraId="0F0948FF" w14:textId="77777777" w:rsidR="00DC325D" w:rsidRDefault="00DC325D" w:rsidP="00DC325D">
      <w:r>
        <w:rPr>
          <w:rFonts w:hint="eastAsia"/>
        </w:rPr>
        <w:t>第</w:t>
      </w:r>
      <w:r>
        <w:rPr>
          <w:rFonts w:hint="eastAsia"/>
        </w:rPr>
        <w:t>16</w:t>
      </w:r>
      <w:r>
        <w:rPr>
          <w:rFonts w:hint="eastAsia"/>
        </w:rPr>
        <w:t>条：搾取、暴力及び虐待からの自由</w:t>
      </w:r>
    </w:p>
    <w:p w14:paraId="724206A5" w14:textId="77777777" w:rsidR="00DC325D" w:rsidRDefault="00DC325D" w:rsidP="00DC325D">
      <w:r>
        <w:rPr>
          <w:rFonts w:hint="eastAsia"/>
        </w:rPr>
        <w:t>第</w:t>
      </w:r>
      <w:r>
        <w:rPr>
          <w:rFonts w:hint="eastAsia"/>
        </w:rPr>
        <w:t>17</w:t>
      </w:r>
      <w:r>
        <w:rPr>
          <w:rFonts w:hint="eastAsia"/>
        </w:rPr>
        <w:t>条：個人をそのままの状態で保護すること</w:t>
      </w:r>
    </w:p>
    <w:p w14:paraId="6A05E7FE" w14:textId="77777777" w:rsidR="00DC325D" w:rsidRDefault="00DC325D" w:rsidP="00DC325D">
      <w:r>
        <w:rPr>
          <w:rFonts w:hint="eastAsia"/>
        </w:rPr>
        <w:t>第</w:t>
      </w:r>
      <w:r>
        <w:rPr>
          <w:rFonts w:hint="eastAsia"/>
        </w:rPr>
        <w:t>19</w:t>
      </w:r>
      <w:r>
        <w:rPr>
          <w:rFonts w:hint="eastAsia"/>
        </w:rPr>
        <w:t>条：自立した生活及び地域社会への包容</w:t>
      </w:r>
    </w:p>
    <w:p w14:paraId="7FA1E571" w14:textId="77777777" w:rsidR="00DC325D" w:rsidRDefault="00DC325D" w:rsidP="00DC325D">
      <w:r>
        <w:rPr>
          <w:rFonts w:hint="eastAsia"/>
        </w:rPr>
        <w:t>第</w:t>
      </w:r>
      <w:r>
        <w:rPr>
          <w:rFonts w:hint="eastAsia"/>
        </w:rPr>
        <w:t>21</w:t>
      </w:r>
      <w:r>
        <w:rPr>
          <w:rFonts w:hint="eastAsia"/>
        </w:rPr>
        <w:t>条：表現及び意見の自由並びに情報の利用の機会</w:t>
      </w:r>
    </w:p>
    <w:p w14:paraId="00EC2F05" w14:textId="77777777" w:rsidR="00DC325D" w:rsidRDefault="00DC325D" w:rsidP="00DC325D">
      <w:r>
        <w:rPr>
          <w:rFonts w:hint="eastAsia"/>
        </w:rPr>
        <w:t>第</w:t>
      </w:r>
      <w:r>
        <w:rPr>
          <w:rFonts w:hint="eastAsia"/>
        </w:rPr>
        <w:t>23</w:t>
      </w:r>
      <w:r>
        <w:rPr>
          <w:rFonts w:hint="eastAsia"/>
        </w:rPr>
        <w:t>条：家庭及び家族の尊重</w:t>
      </w:r>
    </w:p>
    <w:p w14:paraId="7FD475CE" w14:textId="77777777" w:rsidR="00DC325D" w:rsidRDefault="00DC325D" w:rsidP="00DC325D">
      <w:r>
        <w:rPr>
          <w:rFonts w:hint="eastAsia"/>
        </w:rPr>
        <w:t>第</w:t>
      </w:r>
      <w:r>
        <w:rPr>
          <w:rFonts w:hint="eastAsia"/>
        </w:rPr>
        <w:t>24</w:t>
      </w:r>
      <w:r>
        <w:rPr>
          <w:rFonts w:hint="eastAsia"/>
        </w:rPr>
        <w:t>条：教育</w:t>
      </w:r>
    </w:p>
    <w:p w14:paraId="14B85960" w14:textId="77777777" w:rsidR="00DC325D" w:rsidRDefault="00DC325D" w:rsidP="00DC325D">
      <w:r>
        <w:rPr>
          <w:rFonts w:hint="eastAsia"/>
        </w:rPr>
        <w:t>第</w:t>
      </w:r>
      <w:r>
        <w:rPr>
          <w:rFonts w:hint="eastAsia"/>
        </w:rPr>
        <w:t>25</w:t>
      </w:r>
      <w:r>
        <w:rPr>
          <w:rFonts w:hint="eastAsia"/>
        </w:rPr>
        <w:t>条：健康</w:t>
      </w:r>
    </w:p>
    <w:p w14:paraId="7F49685A" w14:textId="77777777" w:rsidR="00DC325D" w:rsidRDefault="00DC325D" w:rsidP="00DC325D">
      <w:r>
        <w:rPr>
          <w:rFonts w:hint="eastAsia"/>
        </w:rPr>
        <w:t>第</w:t>
      </w:r>
      <w:r>
        <w:rPr>
          <w:rFonts w:hint="eastAsia"/>
        </w:rPr>
        <w:t>27</w:t>
      </w:r>
      <w:r>
        <w:rPr>
          <w:rFonts w:hint="eastAsia"/>
        </w:rPr>
        <w:t>条：労働及び雇用</w:t>
      </w:r>
    </w:p>
    <w:p w14:paraId="3E35328A" w14:textId="77777777" w:rsidR="00DC325D" w:rsidRDefault="00DC325D" w:rsidP="00DC325D">
      <w:r>
        <w:rPr>
          <w:rFonts w:hint="eastAsia"/>
        </w:rPr>
        <w:t>第</w:t>
      </w:r>
      <w:r>
        <w:rPr>
          <w:rFonts w:hint="eastAsia"/>
        </w:rPr>
        <w:t>29</w:t>
      </w:r>
      <w:r>
        <w:rPr>
          <w:rFonts w:hint="eastAsia"/>
        </w:rPr>
        <w:t>条：政治的及び公的活動への参加</w:t>
      </w:r>
    </w:p>
    <w:p w14:paraId="19E0BD10" w14:textId="7B6645E5" w:rsidR="00DC325D" w:rsidRDefault="00DC325D" w:rsidP="00DC325D">
      <w:pPr>
        <w:pStyle w:val="af0"/>
        <w:numPr>
          <w:ilvl w:val="0"/>
          <w:numId w:val="1"/>
        </w:numPr>
        <w:ind w:leftChars="0"/>
      </w:pPr>
      <w:r>
        <w:rPr>
          <w:rFonts w:hint="eastAsia"/>
        </w:rPr>
        <w:t>特定の義務（第</w:t>
      </w:r>
      <w:r>
        <w:rPr>
          <w:rFonts w:hint="eastAsia"/>
        </w:rPr>
        <w:t>31</w:t>
      </w:r>
      <w:r w:rsidR="00B40CC3">
        <w:rPr>
          <w:rFonts w:hint="eastAsia"/>
        </w:rPr>
        <w:t>条～</w:t>
      </w:r>
      <w:r>
        <w:rPr>
          <w:rFonts w:hint="eastAsia"/>
        </w:rPr>
        <w:t>第</w:t>
      </w:r>
      <w:r>
        <w:rPr>
          <w:rFonts w:hint="eastAsia"/>
        </w:rPr>
        <w:t>33</w:t>
      </w:r>
      <w:r>
        <w:rPr>
          <w:rFonts w:hint="eastAsia"/>
        </w:rPr>
        <w:t>条）</w:t>
      </w:r>
    </w:p>
    <w:p w14:paraId="5DC1DBFD" w14:textId="77777777" w:rsidR="00DC325D" w:rsidRDefault="00DC325D" w:rsidP="00DC325D">
      <w:r>
        <w:rPr>
          <w:rFonts w:hint="eastAsia"/>
        </w:rPr>
        <w:t>第</w:t>
      </w:r>
      <w:r>
        <w:rPr>
          <w:rFonts w:hint="eastAsia"/>
        </w:rPr>
        <w:t>31</w:t>
      </w:r>
      <w:r>
        <w:rPr>
          <w:rFonts w:hint="eastAsia"/>
        </w:rPr>
        <w:t>条：統計及び資料の収集</w:t>
      </w:r>
    </w:p>
    <w:p w14:paraId="71215631" w14:textId="77777777" w:rsidR="00DC325D" w:rsidRDefault="00DC325D" w:rsidP="00DC325D">
      <w:r>
        <w:rPr>
          <w:rFonts w:hint="eastAsia"/>
        </w:rPr>
        <w:t>第</w:t>
      </w:r>
      <w:r>
        <w:rPr>
          <w:rFonts w:hint="eastAsia"/>
        </w:rPr>
        <w:t>32</w:t>
      </w:r>
      <w:r>
        <w:rPr>
          <w:rFonts w:hint="eastAsia"/>
        </w:rPr>
        <w:t>条：国際協力</w:t>
      </w:r>
    </w:p>
    <w:p w14:paraId="26F49B7A" w14:textId="77777777" w:rsidR="00DC325D" w:rsidRDefault="00DC325D" w:rsidP="00DC325D">
      <w:r>
        <w:rPr>
          <w:rFonts w:hint="eastAsia"/>
        </w:rPr>
        <w:t>第</w:t>
      </w:r>
      <w:r>
        <w:rPr>
          <w:rFonts w:hint="eastAsia"/>
        </w:rPr>
        <w:t>33</w:t>
      </w:r>
      <w:r>
        <w:rPr>
          <w:rFonts w:hint="eastAsia"/>
        </w:rPr>
        <w:t>条：国内における実施及び監視</w:t>
      </w:r>
    </w:p>
    <w:p w14:paraId="10FD4C99" w14:textId="77777777" w:rsidR="00DC325D" w:rsidRDefault="00DC325D" w:rsidP="00DC325D">
      <w:r>
        <w:rPr>
          <w:rFonts w:hint="eastAsia"/>
        </w:rPr>
        <w:t>脚注</w:t>
      </w:r>
    </w:p>
    <w:p w14:paraId="607042AD" w14:textId="77777777" w:rsidR="00DC325D" w:rsidRDefault="00DC325D" w:rsidP="00DC325D"/>
    <w:p w14:paraId="4DBAD06C" w14:textId="77777777" w:rsidR="00DC325D" w:rsidRPr="00B64BF7" w:rsidRDefault="00DC325D" w:rsidP="00DC325D">
      <w:pPr>
        <w:pStyle w:val="af0"/>
        <w:numPr>
          <w:ilvl w:val="0"/>
          <w:numId w:val="3"/>
        </w:numPr>
        <w:ind w:leftChars="0"/>
        <w:rPr>
          <w:rFonts w:asciiTheme="majorEastAsia" w:eastAsiaTheme="majorEastAsia" w:hAnsiTheme="majorEastAsia"/>
        </w:rPr>
      </w:pPr>
      <w:r w:rsidRPr="00B64BF7">
        <w:rPr>
          <w:rFonts w:asciiTheme="majorEastAsia" w:eastAsiaTheme="majorEastAsia" w:hAnsiTheme="majorEastAsia" w:hint="eastAsia"/>
        </w:rPr>
        <w:t>主な懸念</w:t>
      </w:r>
    </w:p>
    <w:p w14:paraId="2810EB52" w14:textId="643C0EE8" w:rsidR="00821B54" w:rsidRDefault="00DC325D" w:rsidP="00821B54">
      <w:pPr>
        <w:pStyle w:val="af0"/>
        <w:numPr>
          <w:ilvl w:val="0"/>
          <w:numId w:val="4"/>
        </w:numPr>
        <w:ind w:leftChars="0"/>
      </w:pPr>
      <w:r>
        <w:rPr>
          <w:rFonts w:hint="eastAsia"/>
        </w:rPr>
        <w:t>権利条約</w:t>
      </w:r>
      <w:r w:rsidR="0037720C">
        <w:rPr>
          <w:rFonts w:hint="eastAsia"/>
        </w:rPr>
        <w:t>〔以下、</w:t>
      </w:r>
      <w:r w:rsidR="0037720C">
        <w:rPr>
          <w:rFonts w:hint="eastAsia"/>
        </w:rPr>
        <w:t>CRPD</w:t>
      </w:r>
      <w:r w:rsidR="0037720C">
        <w:rPr>
          <w:rFonts w:hint="eastAsia"/>
        </w:rPr>
        <w:t>〕</w:t>
      </w:r>
      <w:r w:rsidR="00BE668E">
        <w:rPr>
          <w:rFonts w:hint="eastAsia"/>
        </w:rPr>
        <w:t>における</w:t>
      </w:r>
      <w:r>
        <w:rPr>
          <w:rFonts w:hint="eastAsia"/>
        </w:rPr>
        <w:t>パラダイムシフトを</w:t>
      </w:r>
      <w:r w:rsidR="009666DD">
        <w:rPr>
          <w:rFonts w:hint="eastAsia"/>
        </w:rPr>
        <w:t>示している</w:t>
      </w:r>
      <w:r>
        <w:rPr>
          <w:rFonts w:hint="eastAsia"/>
        </w:rPr>
        <w:t>第</w:t>
      </w:r>
      <w:r>
        <w:rPr>
          <w:rFonts w:hint="eastAsia"/>
        </w:rPr>
        <w:t>12</w:t>
      </w:r>
      <w:r>
        <w:rPr>
          <w:rFonts w:hint="eastAsia"/>
        </w:rPr>
        <w:t>条及び第</w:t>
      </w:r>
      <w:r>
        <w:rPr>
          <w:rFonts w:hint="eastAsia"/>
        </w:rPr>
        <w:t>14</w:t>
      </w:r>
      <w:r>
        <w:rPr>
          <w:rFonts w:hint="eastAsia"/>
        </w:rPr>
        <w:t>条並びに第</w:t>
      </w:r>
      <w:r>
        <w:rPr>
          <w:rFonts w:hint="eastAsia"/>
        </w:rPr>
        <w:t>25</w:t>
      </w:r>
      <w:r>
        <w:rPr>
          <w:rFonts w:hint="eastAsia"/>
        </w:rPr>
        <w:t>条に関するノルウェーによる</w:t>
      </w:r>
      <w:r>
        <w:rPr>
          <w:rFonts w:hint="eastAsia"/>
        </w:rPr>
        <w:t>2</w:t>
      </w:r>
      <w:r>
        <w:rPr>
          <w:rFonts w:hint="eastAsia"/>
        </w:rPr>
        <w:t>件の解釈宣言</w:t>
      </w:r>
      <w:r w:rsidR="008C2FAD">
        <w:rPr>
          <w:rStyle w:val="a8"/>
        </w:rPr>
        <w:endnoteReference w:id="2"/>
      </w:r>
      <w:r>
        <w:rPr>
          <w:rFonts w:hint="eastAsia"/>
        </w:rPr>
        <w:t>は、条約の</w:t>
      </w:r>
      <w:r w:rsidR="00BE668E">
        <w:rPr>
          <w:rFonts w:hint="eastAsia"/>
        </w:rPr>
        <w:t>目的と矛盾しており、条約による</w:t>
      </w:r>
      <w:r>
        <w:rPr>
          <w:rFonts w:hint="eastAsia"/>
        </w:rPr>
        <w:t>法的保護を</w:t>
      </w:r>
      <w:r w:rsidR="00BE668E">
        <w:rPr>
          <w:rFonts w:hint="eastAsia"/>
        </w:rPr>
        <w:t>制限するものである。選択議定書の署名や批准は行われていない。</w:t>
      </w:r>
      <w:r w:rsidR="00BE668E">
        <w:rPr>
          <w:rStyle w:val="a8"/>
        </w:rPr>
        <w:endnoteReference w:id="3"/>
      </w:r>
      <w:r w:rsidR="00BE668E">
        <w:rPr>
          <w:rFonts w:hint="eastAsia"/>
        </w:rPr>
        <w:t>児童の権利に関する条約、</w:t>
      </w:r>
      <w:r w:rsidR="00BE668E" w:rsidRPr="00BE668E">
        <w:rPr>
          <w:rFonts w:hint="eastAsia"/>
        </w:rPr>
        <w:t>女子に対するあらゆる形態の差別の撤廃に関する条約</w:t>
      </w:r>
      <w:r w:rsidR="00BE668E">
        <w:rPr>
          <w:rFonts w:hint="eastAsia"/>
        </w:rPr>
        <w:t>及び</w:t>
      </w:r>
      <w:r w:rsidR="00BE668E" w:rsidRPr="00BE668E">
        <w:rPr>
          <w:rFonts w:hint="eastAsia"/>
        </w:rPr>
        <w:t>あらゆる形態の人種差別の撤廃に関する国際条約</w:t>
      </w:r>
      <w:r w:rsidR="004740CA">
        <w:rPr>
          <w:rStyle w:val="a8"/>
        </w:rPr>
        <w:endnoteReference w:id="4"/>
      </w:r>
      <w:r w:rsidR="004740CA">
        <w:rPr>
          <w:rFonts w:hint="eastAsia"/>
        </w:rPr>
        <w:t>は、人権法</w:t>
      </w:r>
      <w:r w:rsidR="00323AA2">
        <w:rPr>
          <w:rFonts w:hint="eastAsia"/>
        </w:rPr>
        <w:t>又は</w:t>
      </w:r>
      <w:r w:rsidR="004740CA">
        <w:rPr>
          <w:rFonts w:hint="eastAsia"/>
        </w:rPr>
        <w:t>その他の法令を通じて</w:t>
      </w:r>
      <w:r w:rsidR="004740CA">
        <w:rPr>
          <w:rStyle w:val="a8"/>
        </w:rPr>
        <w:endnoteReference w:id="5"/>
      </w:r>
      <w:r w:rsidR="004740CA">
        <w:rPr>
          <w:rFonts w:hint="eastAsia"/>
        </w:rPr>
        <w:t>ノルウェーの法律で</w:t>
      </w:r>
      <w:r w:rsidR="00BE668E">
        <w:rPr>
          <w:rFonts w:hint="eastAsia"/>
        </w:rPr>
        <w:t>実施されている。</w:t>
      </w:r>
      <w:r w:rsidR="0037720C">
        <w:t>CRPD</w:t>
      </w:r>
      <w:r w:rsidR="00821B54">
        <w:rPr>
          <w:rFonts w:hint="eastAsia"/>
        </w:rPr>
        <w:t>はノルウェーの法律に</w:t>
      </w:r>
      <w:r w:rsidR="004740CA">
        <w:rPr>
          <w:rFonts w:hint="eastAsia"/>
        </w:rPr>
        <w:t>組み込まれて</w:t>
      </w:r>
      <w:r w:rsidR="00622177">
        <w:rPr>
          <w:rFonts w:hint="eastAsia"/>
        </w:rPr>
        <w:t>いない</w:t>
      </w:r>
      <w:r w:rsidR="00821B54">
        <w:rPr>
          <w:rFonts w:hint="eastAsia"/>
        </w:rPr>
        <w:t>。ノルウェーの法律と条約の間で解釈上の不一致がある場合、条約が</w:t>
      </w:r>
      <w:r w:rsidR="00374F7C">
        <w:rPr>
          <w:rFonts w:hint="eastAsia"/>
        </w:rPr>
        <w:t>人権法において実施されていない限り、</w:t>
      </w:r>
      <w:r w:rsidR="00821B54">
        <w:rPr>
          <w:rFonts w:hint="eastAsia"/>
        </w:rPr>
        <w:t>ノルウェーの法律が優先されるのが一般原則である。</w:t>
      </w:r>
      <w:r w:rsidR="00374F7C">
        <w:rPr>
          <w:rFonts w:hint="eastAsia"/>
        </w:rPr>
        <w:t>最高裁判所は後見法に定められている規定を受け入れ、原告の法的能力の剥奪が明らかに</w:t>
      </w:r>
      <w:r w:rsidR="00374F7C">
        <w:rPr>
          <w:rFonts w:hint="eastAsia"/>
        </w:rPr>
        <w:t>CRPD</w:t>
      </w:r>
      <w:r w:rsidR="00374F7C">
        <w:rPr>
          <w:rFonts w:hint="eastAsia"/>
        </w:rPr>
        <w:t>に違反するにもかかわらず、これを認めてきた。</w:t>
      </w:r>
      <w:r w:rsidR="00374F7C">
        <w:rPr>
          <w:rStyle w:val="a8"/>
        </w:rPr>
        <w:endnoteReference w:id="6"/>
      </w:r>
    </w:p>
    <w:p w14:paraId="30876E71" w14:textId="05C5C93D" w:rsidR="00374F7C" w:rsidRDefault="00664E58" w:rsidP="00821B54">
      <w:pPr>
        <w:pStyle w:val="af0"/>
        <w:numPr>
          <w:ilvl w:val="0"/>
          <w:numId w:val="4"/>
        </w:numPr>
        <w:ind w:leftChars="0"/>
      </w:pPr>
      <w:r>
        <w:rPr>
          <w:rFonts w:hint="eastAsia"/>
        </w:rPr>
        <w:t>権力、民主主義、平等及び多様性に関する重要な研究、政策及び計画において、障害のある人</w:t>
      </w:r>
      <w:r w:rsidR="006810CD">
        <w:rPr>
          <w:rFonts w:hint="eastAsia"/>
        </w:rPr>
        <w:t>が考慮</w:t>
      </w:r>
      <w:r>
        <w:rPr>
          <w:rFonts w:hint="eastAsia"/>
        </w:rPr>
        <w:t>されていない。</w:t>
      </w:r>
      <w:r w:rsidR="006810CD">
        <w:rPr>
          <w:rFonts w:hint="eastAsia"/>
        </w:rPr>
        <w:t>ノルウェーの平等及び多様性</w:t>
      </w:r>
      <w:r w:rsidR="004329B6">
        <w:rPr>
          <w:rFonts w:hint="eastAsia"/>
        </w:rPr>
        <w:t>に関する</w:t>
      </w:r>
      <w:r w:rsidR="006810CD">
        <w:rPr>
          <w:rFonts w:hint="eastAsia"/>
        </w:rPr>
        <w:t>政策では、障害ではなく主にジェンダーと種族に焦点が絞られている。これには、学校にお</w:t>
      </w:r>
      <w:r w:rsidR="003731B9">
        <w:rPr>
          <w:rFonts w:hint="eastAsia"/>
        </w:rPr>
        <w:t>ける</w:t>
      </w:r>
      <w:r w:rsidR="006810CD">
        <w:rPr>
          <w:rFonts w:hint="eastAsia"/>
        </w:rPr>
        <w:t>表現の自由を支援し、民主主義に影響を与え、これを促進する取り組みと、</w:t>
      </w:r>
      <w:r w:rsidR="00D54F8B">
        <w:rPr>
          <w:rFonts w:hint="eastAsia"/>
        </w:rPr>
        <w:t>学問及び</w:t>
      </w:r>
      <w:r w:rsidR="006810CD">
        <w:rPr>
          <w:rFonts w:hint="eastAsia"/>
        </w:rPr>
        <w:t>メディアの世界における多様性の採用が含まれる。</w:t>
      </w:r>
      <w:r w:rsidR="003D0C5A">
        <w:rPr>
          <w:rStyle w:val="a8"/>
        </w:rPr>
        <w:endnoteReference w:id="7"/>
      </w:r>
    </w:p>
    <w:p w14:paraId="6B2FC412" w14:textId="004BF8B9" w:rsidR="003B68D8" w:rsidRDefault="003B68D8" w:rsidP="00821B54">
      <w:pPr>
        <w:pStyle w:val="af0"/>
        <w:numPr>
          <w:ilvl w:val="0"/>
          <w:numId w:val="4"/>
        </w:numPr>
        <w:ind w:leftChars="0"/>
      </w:pPr>
      <w:r>
        <w:rPr>
          <w:rFonts w:hint="eastAsia"/>
        </w:rPr>
        <w:t>「代替的意思決定」から「支援付き意思決定」へのパラダイムシフトは実施されていない。ノルウェーの法律では、実力行使と、診断及び機能的能力に基づ</w:t>
      </w:r>
      <w:r w:rsidR="00801782">
        <w:rPr>
          <w:rFonts w:hint="eastAsia"/>
        </w:rPr>
        <w:t>いて</w:t>
      </w:r>
      <w:r>
        <w:rPr>
          <w:rFonts w:hint="eastAsia"/>
        </w:rPr>
        <w:t>自己決定</w:t>
      </w:r>
      <w:r w:rsidR="00801782">
        <w:rPr>
          <w:rFonts w:hint="eastAsia"/>
        </w:rPr>
        <w:t>を</w:t>
      </w:r>
      <w:r>
        <w:rPr>
          <w:rFonts w:hint="eastAsia"/>
        </w:rPr>
        <w:t>剥奪</w:t>
      </w:r>
      <w:r w:rsidR="00801782">
        <w:rPr>
          <w:rFonts w:hint="eastAsia"/>
        </w:rPr>
        <w:t>すること</w:t>
      </w:r>
      <w:r>
        <w:rPr>
          <w:rFonts w:hint="eastAsia"/>
        </w:rPr>
        <w:t>が認められており、これは</w:t>
      </w:r>
      <w:r>
        <w:rPr>
          <w:rFonts w:hint="eastAsia"/>
        </w:rPr>
        <w:t>CRPD</w:t>
      </w:r>
      <w:r>
        <w:rPr>
          <w:rFonts w:hint="eastAsia"/>
        </w:rPr>
        <w:t>に違反している。第</w:t>
      </w:r>
      <w:r>
        <w:rPr>
          <w:rFonts w:hint="eastAsia"/>
        </w:rPr>
        <w:t>12</w:t>
      </w:r>
      <w:r>
        <w:rPr>
          <w:rFonts w:hint="eastAsia"/>
        </w:rPr>
        <w:t>条及び第</w:t>
      </w:r>
      <w:r>
        <w:rPr>
          <w:rFonts w:hint="eastAsia"/>
        </w:rPr>
        <w:t>14</w:t>
      </w:r>
      <w:r>
        <w:rPr>
          <w:rFonts w:hint="eastAsia"/>
        </w:rPr>
        <w:t>条を参照。認知障害のある人及び心理社会的障害のある人に対する違法な強制が、保健</w:t>
      </w:r>
      <w:r w:rsidR="00AD1CF5">
        <w:rPr>
          <w:rFonts w:hint="eastAsia"/>
        </w:rPr>
        <w:t>・ケア</w:t>
      </w:r>
      <w:r>
        <w:rPr>
          <w:rFonts w:hint="eastAsia"/>
        </w:rPr>
        <w:t>サービスや教育部門で行われている。第</w:t>
      </w:r>
      <w:r>
        <w:rPr>
          <w:rFonts w:hint="eastAsia"/>
        </w:rPr>
        <w:t>14</w:t>
      </w:r>
      <w:r>
        <w:rPr>
          <w:rFonts w:hint="eastAsia"/>
        </w:rPr>
        <w:t>条を参照。</w:t>
      </w:r>
    </w:p>
    <w:p w14:paraId="06EE3635" w14:textId="4A855D37" w:rsidR="003B68D8" w:rsidRDefault="00EC58A0" w:rsidP="00821B54">
      <w:pPr>
        <w:pStyle w:val="af0"/>
        <w:numPr>
          <w:ilvl w:val="0"/>
          <w:numId w:val="4"/>
        </w:numPr>
        <w:ind w:leftChars="0"/>
      </w:pPr>
      <w:r>
        <w:rPr>
          <w:rFonts w:hint="eastAsia"/>
        </w:rPr>
        <w:t>障害のある人は</w:t>
      </w:r>
      <w:r w:rsidR="001B5D92">
        <w:rPr>
          <w:rFonts w:hint="eastAsia"/>
        </w:rPr>
        <w:t>、法律に基づく権利を有しているにもかか</w:t>
      </w:r>
      <w:r w:rsidR="004F07ED">
        <w:rPr>
          <w:rFonts w:hint="eastAsia"/>
        </w:rPr>
        <w:t>わらず、その権利が</w:t>
      </w:r>
      <w:r>
        <w:rPr>
          <w:rFonts w:hint="eastAsia"/>
        </w:rPr>
        <w:t>必ずしも守られていない。法令が条約</w:t>
      </w:r>
      <w:r w:rsidR="0010286B">
        <w:rPr>
          <w:rFonts w:hint="eastAsia"/>
        </w:rPr>
        <w:t>と</w:t>
      </w:r>
      <w:r>
        <w:rPr>
          <w:rFonts w:hint="eastAsia"/>
        </w:rPr>
        <w:t>ほぼ</w:t>
      </w:r>
      <w:r w:rsidR="0010286B">
        <w:rPr>
          <w:rFonts w:hint="eastAsia"/>
        </w:rPr>
        <w:t>一致している</w:t>
      </w:r>
      <w:r>
        <w:rPr>
          <w:rFonts w:hint="eastAsia"/>
        </w:rPr>
        <w:t>分野において</w:t>
      </w:r>
      <w:r w:rsidR="00A26C40">
        <w:rPr>
          <w:rFonts w:hint="eastAsia"/>
        </w:rPr>
        <w:t>も</w:t>
      </w:r>
      <w:r>
        <w:rPr>
          <w:rFonts w:hint="eastAsia"/>
        </w:rPr>
        <w:t>、慣行</w:t>
      </w:r>
      <w:r w:rsidR="00057BEB">
        <w:rPr>
          <w:rFonts w:hint="eastAsia"/>
        </w:rPr>
        <w:t>が</w:t>
      </w:r>
      <w:r>
        <w:rPr>
          <w:rFonts w:hint="eastAsia"/>
        </w:rPr>
        <w:t>CRPD</w:t>
      </w:r>
      <w:r w:rsidR="00A26C40">
        <w:rPr>
          <w:rFonts w:hint="eastAsia"/>
        </w:rPr>
        <w:t>に矛盾している。</w:t>
      </w:r>
      <w:r w:rsidR="000D6DB2">
        <w:rPr>
          <w:rFonts w:hint="eastAsia"/>
        </w:rPr>
        <w:t>障害者団体、オンブズマン</w:t>
      </w:r>
      <w:r w:rsidR="00D27613">
        <w:rPr>
          <w:rStyle w:val="a8"/>
        </w:rPr>
        <w:endnoteReference w:id="8"/>
      </w:r>
      <w:r w:rsidR="000D6DB2">
        <w:rPr>
          <w:rFonts w:hint="eastAsia"/>
        </w:rPr>
        <w:t>及び公的監督機関</w:t>
      </w:r>
      <w:r w:rsidR="00D27613">
        <w:rPr>
          <w:rStyle w:val="a8"/>
        </w:rPr>
        <w:endnoteReference w:id="9"/>
      </w:r>
      <w:r w:rsidR="003731B9">
        <w:rPr>
          <w:rFonts w:hint="eastAsia"/>
        </w:rPr>
        <w:t>の経験</w:t>
      </w:r>
      <w:r w:rsidR="00057BEB">
        <w:rPr>
          <w:rFonts w:hint="eastAsia"/>
        </w:rPr>
        <w:t>によれば</w:t>
      </w:r>
      <w:r w:rsidR="000D6DB2">
        <w:rPr>
          <w:rFonts w:hint="eastAsia"/>
        </w:rPr>
        <w:t>、</w:t>
      </w:r>
      <w:r w:rsidR="00622177">
        <w:rPr>
          <w:rFonts w:hint="eastAsia"/>
        </w:rPr>
        <w:t>条約の</w:t>
      </w:r>
      <w:r w:rsidR="000D6DB2">
        <w:rPr>
          <w:rFonts w:hint="eastAsia"/>
        </w:rPr>
        <w:t>実施</w:t>
      </w:r>
      <w:r w:rsidR="00057BEB">
        <w:rPr>
          <w:rFonts w:hint="eastAsia"/>
        </w:rPr>
        <w:t>は</w:t>
      </w:r>
      <w:r w:rsidR="000D6DB2">
        <w:rPr>
          <w:rFonts w:hint="eastAsia"/>
        </w:rPr>
        <w:t>不十分</w:t>
      </w:r>
      <w:r w:rsidR="00622177">
        <w:rPr>
          <w:rFonts w:hint="eastAsia"/>
        </w:rPr>
        <w:t>である</w:t>
      </w:r>
      <w:r w:rsidR="000D6DB2">
        <w:rPr>
          <w:rFonts w:hint="eastAsia"/>
        </w:rPr>
        <w:t>。</w:t>
      </w:r>
      <w:r w:rsidR="00D44AAC">
        <w:rPr>
          <w:rFonts w:hint="eastAsia"/>
        </w:rPr>
        <w:t>これ</w:t>
      </w:r>
      <w:r w:rsidR="00057BEB">
        <w:rPr>
          <w:rFonts w:hint="eastAsia"/>
        </w:rPr>
        <w:t>は、</w:t>
      </w:r>
      <w:r w:rsidR="000D6DB2">
        <w:rPr>
          <w:rFonts w:hint="eastAsia"/>
        </w:rPr>
        <w:t>既存の行政上の決定</w:t>
      </w:r>
      <w:r w:rsidR="00F24015">
        <w:rPr>
          <w:rFonts w:hint="eastAsia"/>
        </w:rPr>
        <w:t>が履行されず</w:t>
      </w:r>
      <w:r w:rsidR="00057BEB">
        <w:rPr>
          <w:rFonts w:hint="eastAsia"/>
        </w:rPr>
        <w:t>、行政上の決定が真の意味で下されること</w:t>
      </w:r>
      <w:r w:rsidR="00F24015">
        <w:rPr>
          <w:rFonts w:hint="eastAsia"/>
        </w:rPr>
        <w:t>が</w:t>
      </w:r>
      <w:r w:rsidR="0010286B">
        <w:rPr>
          <w:rFonts w:hint="eastAsia"/>
        </w:rPr>
        <w:t>確保</w:t>
      </w:r>
      <w:r w:rsidR="00F24015">
        <w:rPr>
          <w:rFonts w:hint="eastAsia"/>
        </w:rPr>
        <w:t>されていない</w:t>
      </w:r>
      <w:r w:rsidR="00057BEB">
        <w:rPr>
          <w:rFonts w:hint="eastAsia"/>
        </w:rPr>
        <w:t>ことにも</w:t>
      </w:r>
      <w:r w:rsidR="00F24015">
        <w:rPr>
          <w:rFonts w:hint="eastAsia"/>
        </w:rPr>
        <w:t>見ることができる</w:t>
      </w:r>
      <w:r w:rsidR="00622177">
        <w:rPr>
          <w:rFonts w:hint="eastAsia"/>
        </w:rPr>
        <w:t>。法令が</w:t>
      </w:r>
      <w:r w:rsidR="00D27613">
        <w:rPr>
          <w:rFonts w:hint="eastAsia"/>
        </w:rPr>
        <w:t>順守されていない</w:t>
      </w:r>
      <w:r w:rsidR="004F07ED">
        <w:rPr>
          <w:rFonts w:hint="eastAsia"/>
        </w:rPr>
        <w:t>のである</w:t>
      </w:r>
      <w:r w:rsidR="00D27613">
        <w:rPr>
          <w:rFonts w:hint="eastAsia"/>
        </w:rPr>
        <w:t>。法律扶助</w:t>
      </w:r>
      <w:r w:rsidR="00057BEB">
        <w:rPr>
          <w:rFonts w:hint="eastAsia"/>
        </w:rPr>
        <w:t>へのアクセス</w:t>
      </w:r>
      <w:r w:rsidR="00D27613">
        <w:rPr>
          <w:rFonts w:hint="eastAsia"/>
        </w:rPr>
        <w:t>が限られているため、司法制度を通じて</w:t>
      </w:r>
      <w:r w:rsidR="00057BEB">
        <w:rPr>
          <w:rFonts w:hint="eastAsia"/>
        </w:rPr>
        <w:t>自己の</w:t>
      </w:r>
      <w:r w:rsidR="00D27613">
        <w:rPr>
          <w:rFonts w:hint="eastAsia"/>
        </w:rPr>
        <w:t>権利を要求することが難しくなっている。</w:t>
      </w:r>
    </w:p>
    <w:p w14:paraId="14DB1B9E" w14:textId="41DDE57D" w:rsidR="00D27613" w:rsidRDefault="00852FEA" w:rsidP="00821B54">
      <w:pPr>
        <w:pStyle w:val="af0"/>
        <w:numPr>
          <w:ilvl w:val="0"/>
          <w:numId w:val="4"/>
        </w:numPr>
        <w:ind w:leftChars="0"/>
      </w:pPr>
      <w:r>
        <w:rPr>
          <w:rFonts w:hint="eastAsia"/>
        </w:rPr>
        <w:t>市町村自治は、</w:t>
      </w:r>
      <w:r w:rsidR="00766B25">
        <w:rPr>
          <w:rFonts w:hint="eastAsia"/>
        </w:rPr>
        <w:t>居住地</w:t>
      </w:r>
      <w:r w:rsidR="003A6789">
        <w:rPr>
          <w:rFonts w:hint="eastAsia"/>
        </w:rPr>
        <w:t>に</w:t>
      </w:r>
      <w:r w:rsidR="00332DDD">
        <w:rPr>
          <w:rFonts w:hint="eastAsia"/>
        </w:rPr>
        <w:t>左右される</w:t>
      </w:r>
      <w:r w:rsidR="003A6789">
        <w:rPr>
          <w:rFonts w:hint="eastAsia"/>
        </w:rPr>
        <w:t>サービス及び</w:t>
      </w:r>
      <w:r w:rsidR="00332DDD">
        <w:rPr>
          <w:rFonts w:hint="eastAsia"/>
        </w:rPr>
        <w:t>給付</w:t>
      </w:r>
      <w:r w:rsidR="003A6789">
        <w:rPr>
          <w:rFonts w:hint="eastAsia"/>
        </w:rPr>
        <w:t>の</w:t>
      </w:r>
      <w:r w:rsidR="00332DDD">
        <w:rPr>
          <w:rFonts w:hint="eastAsia"/>
        </w:rPr>
        <w:t>割り当て</w:t>
      </w:r>
      <w:r w:rsidR="006F7879">
        <w:rPr>
          <w:rFonts w:hint="eastAsia"/>
        </w:rPr>
        <w:t>の</w:t>
      </w:r>
      <w:r w:rsidR="003A6789">
        <w:rPr>
          <w:rFonts w:hint="eastAsia"/>
        </w:rPr>
        <w:t>不</w:t>
      </w:r>
      <w:r w:rsidR="006F7879">
        <w:rPr>
          <w:rFonts w:hint="eastAsia"/>
        </w:rPr>
        <w:t>公平</w:t>
      </w:r>
      <w:r w:rsidR="00332DDD">
        <w:rPr>
          <w:rFonts w:hint="eastAsia"/>
        </w:rPr>
        <w:t>をもたらす。</w:t>
      </w:r>
      <w:r w:rsidR="003A6789">
        <w:rPr>
          <w:rStyle w:val="a8"/>
        </w:rPr>
        <w:endnoteReference w:id="10"/>
      </w:r>
      <w:r w:rsidR="00766B25">
        <w:rPr>
          <w:rFonts w:hint="eastAsia"/>
        </w:rPr>
        <w:t>児童の権利</w:t>
      </w:r>
      <w:r w:rsidR="003A6789">
        <w:rPr>
          <w:rFonts w:hint="eastAsia"/>
        </w:rPr>
        <w:t>委員会は、市町村による非常に大きな</w:t>
      </w:r>
      <w:r w:rsidR="00761D9E">
        <w:rPr>
          <w:rFonts w:hint="eastAsia"/>
        </w:rPr>
        <w:t>格差</w:t>
      </w:r>
      <w:r w:rsidR="003A6789">
        <w:rPr>
          <w:rFonts w:hint="eastAsia"/>
        </w:rPr>
        <w:t>を指摘してきた。</w:t>
      </w:r>
      <w:r w:rsidR="003A6789">
        <w:rPr>
          <w:rStyle w:val="a8"/>
        </w:rPr>
        <w:endnoteReference w:id="11"/>
      </w:r>
      <w:r w:rsidR="003A6789">
        <w:rPr>
          <w:rFonts w:hint="eastAsia"/>
        </w:rPr>
        <w:t>国内</w:t>
      </w:r>
      <w:r w:rsidR="006F7879">
        <w:rPr>
          <w:rFonts w:hint="eastAsia"/>
        </w:rPr>
        <w:t>における法律</w:t>
      </w:r>
      <w:r w:rsidR="003A6789">
        <w:rPr>
          <w:rFonts w:hint="eastAsia"/>
        </w:rPr>
        <w:t>及びガイドライン</w:t>
      </w:r>
      <w:r w:rsidR="006F7879">
        <w:rPr>
          <w:rFonts w:hint="eastAsia"/>
        </w:rPr>
        <w:t>の順守</w:t>
      </w:r>
      <w:r w:rsidR="003A6789">
        <w:rPr>
          <w:rFonts w:hint="eastAsia"/>
        </w:rPr>
        <w:t>が不十分な市町村では、</w:t>
      </w:r>
      <w:r w:rsidR="00761D9E">
        <w:rPr>
          <w:rFonts w:hint="eastAsia"/>
        </w:rPr>
        <w:t>ほとんど</w:t>
      </w:r>
      <w:r w:rsidR="00400910">
        <w:rPr>
          <w:rFonts w:hint="eastAsia"/>
        </w:rPr>
        <w:t>又は</w:t>
      </w:r>
      <w:r w:rsidR="00761D9E">
        <w:rPr>
          <w:rFonts w:hint="eastAsia"/>
        </w:rPr>
        <w:t>まったく</w:t>
      </w:r>
      <w:r w:rsidR="00766B25">
        <w:rPr>
          <w:rFonts w:hint="eastAsia"/>
        </w:rPr>
        <w:t>〔訳注：条約の〕</w:t>
      </w:r>
      <w:r w:rsidR="00761D9E">
        <w:rPr>
          <w:rFonts w:hint="eastAsia"/>
        </w:rPr>
        <w:t>影響が見られない。</w:t>
      </w:r>
    </w:p>
    <w:p w14:paraId="2D775470" w14:textId="5F2705FB" w:rsidR="00761D9E" w:rsidRDefault="000D25C1" w:rsidP="00821B54">
      <w:pPr>
        <w:pStyle w:val="af0"/>
        <w:numPr>
          <w:ilvl w:val="0"/>
          <w:numId w:val="4"/>
        </w:numPr>
        <w:ind w:leftChars="0"/>
      </w:pPr>
      <w:r>
        <w:rPr>
          <w:rFonts w:hint="eastAsia"/>
        </w:rPr>
        <w:t>部門別責任の原則は、</w:t>
      </w:r>
      <w:r w:rsidR="009315F9">
        <w:rPr>
          <w:rFonts w:hint="eastAsia"/>
        </w:rPr>
        <w:t>障害のある人が他の者と同じ権利を有することを確保するという各公的部門（労働、教育、輸送、保健</w:t>
      </w:r>
      <w:r w:rsidR="00CB367B">
        <w:rPr>
          <w:rFonts w:hint="eastAsia"/>
        </w:rPr>
        <w:t>など</w:t>
      </w:r>
      <w:r w:rsidR="009315F9">
        <w:rPr>
          <w:rFonts w:hint="eastAsia"/>
        </w:rPr>
        <w:t>）の責任が、</w:t>
      </w:r>
      <w:r w:rsidR="00766B25">
        <w:rPr>
          <w:rFonts w:hint="eastAsia"/>
        </w:rPr>
        <w:t>当該</w:t>
      </w:r>
      <w:r w:rsidR="009315F9">
        <w:rPr>
          <w:rFonts w:hint="eastAsia"/>
        </w:rPr>
        <w:t>部門に限定されることを</w:t>
      </w:r>
      <w:r>
        <w:rPr>
          <w:rFonts w:hint="eastAsia"/>
        </w:rPr>
        <w:t>意味する。</w:t>
      </w:r>
      <w:r w:rsidR="000423BF">
        <w:rPr>
          <w:rFonts w:hint="eastAsia"/>
        </w:rPr>
        <w:t>異なる部門間の調整は</w:t>
      </w:r>
      <w:r w:rsidR="004F70BA">
        <w:rPr>
          <w:rFonts w:hint="eastAsia"/>
        </w:rPr>
        <w:t>不十分で、統一された専門的なアプローチは見られない。</w:t>
      </w:r>
      <w:r w:rsidR="007A782F">
        <w:rPr>
          <w:rFonts w:hint="eastAsia"/>
        </w:rPr>
        <w:t>具体的かつ測定可能な結果は存在しない。</w:t>
      </w:r>
    </w:p>
    <w:p w14:paraId="68F43381" w14:textId="3AF2B86B" w:rsidR="007A782F" w:rsidRDefault="00B87398" w:rsidP="00821B54">
      <w:pPr>
        <w:pStyle w:val="af0"/>
        <w:numPr>
          <w:ilvl w:val="0"/>
          <w:numId w:val="4"/>
        </w:numPr>
        <w:ind w:leftChars="0"/>
      </w:pPr>
      <w:r>
        <w:rPr>
          <w:rFonts w:hint="eastAsia"/>
        </w:rPr>
        <w:t>市町村及び県が、条約とその原則にどのように関わっているのか、政府、</w:t>
      </w:r>
      <w:r w:rsidR="00766B25">
        <w:rPr>
          <w:rFonts w:hint="eastAsia"/>
        </w:rPr>
        <w:t>県</w:t>
      </w:r>
      <w:r>
        <w:rPr>
          <w:rFonts w:hint="eastAsia"/>
        </w:rPr>
        <w:t>及び市町村に勤務している専門家が、</w:t>
      </w:r>
      <w:r>
        <w:rPr>
          <w:rFonts w:hint="eastAsia"/>
        </w:rPr>
        <w:t>CRPD</w:t>
      </w:r>
      <w:r>
        <w:rPr>
          <w:rFonts w:hint="eastAsia"/>
        </w:rPr>
        <w:t>に関</w:t>
      </w:r>
      <w:r w:rsidR="000E7723">
        <w:rPr>
          <w:rFonts w:hint="eastAsia"/>
        </w:rPr>
        <w:t>して</w:t>
      </w:r>
      <w:r>
        <w:rPr>
          <w:rFonts w:hint="eastAsia"/>
        </w:rPr>
        <w:t>どのような研修を受けているのか、明らかでない。</w:t>
      </w:r>
    </w:p>
    <w:p w14:paraId="67E69458" w14:textId="1FC79739" w:rsidR="00B87398" w:rsidRDefault="0048779F" w:rsidP="00821B54">
      <w:pPr>
        <w:pStyle w:val="af0"/>
        <w:numPr>
          <w:ilvl w:val="0"/>
          <w:numId w:val="4"/>
        </w:numPr>
        <w:ind w:leftChars="0"/>
      </w:pPr>
      <w:r>
        <w:rPr>
          <w:rFonts w:hint="eastAsia"/>
        </w:rPr>
        <w:t>障害のある人に対する差別に関する</w:t>
      </w:r>
      <w:r w:rsidR="00766B25">
        <w:rPr>
          <w:rFonts w:hint="eastAsia"/>
        </w:rPr>
        <w:t>記録</w:t>
      </w:r>
      <w:r>
        <w:rPr>
          <w:rFonts w:hint="eastAsia"/>
        </w:rPr>
        <w:t>の作成、研究及び統計が</w:t>
      </w:r>
      <w:r w:rsidR="000E7723">
        <w:rPr>
          <w:rFonts w:hint="eastAsia"/>
        </w:rPr>
        <w:t>不正確であり、不足している。専門家及び研究者が</w:t>
      </w:r>
      <w:r w:rsidR="008C65D4">
        <w:rPr>
          <w:rFonts w:hint="eastAsia"/>
        </w:rPr>
        <w:t>C</w:t>
      </w:r>
      <w:r w:rsidR="008C65D4">
        <w:t>RPD</w:t>
      </w:r>
      <w:r w:rsidR="008C65D4">
        <w:rPr>
          <w:rFonts w:hint="eastAsia"/>
        </w:rPr>
        <w:t>に関わっていない。</w:t>
      </w:r>
    </w:p>
    <w:p w14:paraId="5119DCFE" w14:textId="77777777" w:rsidR="00F635E3" w:rsidRDefault="00F635E3" w:rsidP="00F635E3"/>
    <w:p w14:paraId="66CAA419" w14:textId="730B5D82" w:rsidR="00DC325D" w:rsidRPr="00B64BF7" w:rsidRDefault="005A55AB" w:rsidP="00DC325D">
      <w:pPr>
        <w:pStyle w:val="af0"/>
        <w:numPr>
          <w:ilvl w:val="0"/>
          <w:numId w:val="3"/>
        </w:numPr>
        <w:ind w:leftChars="0"/>
        <w:rPr>
          <w:rFonts w:asciiTheme="majorEastAsia" w:eastAsiaTheme="majorEastAsia" w:hAnsiTheme="majorEastAsia"/>
        </w:rPr>
      </w:pPr>
      <w:r w:rsidRPr="00B64BF7">
        <w:rPr>
          <w:rFonts w:asciiTheme="majorEastAsia" w:eastAsiaTheme="majorEastAsia" w:hAnsiTheme="majorEastAsia" w:hint="eastAsia"/>
        </w:rPr>
        <w:t>目的、一般原則及び一般的義務（第</w:t>
      </w:r>
      <w:r w:rsidRPr="00B64BF7">
        <w:rPr>
          <w:rFonts w:asciiTheme="majorEastAsia" w:eastAsiaTheme="majorEastAsia" w:hAnsiTheme="majorEastAsia"/>
        </w:rPr>
        <w:t>1</w:t>
      </w:r>
      <w:r w:rsidRPr="00B64BF7">
        <w:rPr>
          <w:rFonts w:asciiTheme="majorEastAsia" w:eastAsiaTheme="majorEastAsia" w:hAnsiTheme="majorEastAsia" w:hint="eastAsia"/>
        </w:rPr>
        <w:t>条</w:t>
      </w:r>
      <w:r w:rsidR="000E7723" w:rsidRPr="00B64BF7">
        <w:rPr>
          <w:rFonts w:asciiTheme="majorEastAsia" w:eastAsiaTheme="majorEastAsia" w:hAnsiTheme="majorEastAsia" w:hint="eastAsia"/>
        </w:rPr>
        <w:t>～</w:t>
      </w:r>
      <w:r w:rsidRPr="00B64BF7">
        <w:rPr>
          <w:rFonts w:asciiTheme="majorEastAsia" w:eastAsiaTheme="majorEastAsia" w:hAnsiTheme="majorEastAsia" w:hint="eastAsia"/>
        </w:rPr>
        <w:t>第</w:t>
      </w:r>
      <w:r w:rsidRPr="00B64BF7">
        <w:rPr>
          <w:rFonts w:asciiTheme="majorEastAsia" w:eastAsiaTheme="majorEastAsia" w:hAnsiTheme="majorEastAsia"/>
        </w:rPr>
        <w:t>4</w:t>
      </w:r>
      <w:r w:rsidRPr="00B64BF7">
        <w:rPr>
          <w:rFonts w:asciiTheme="majorEastAsia" w:eastAsiaTheme="majorEastAsia" w:hAnsiTheme="majorEastAsia" w:hint="eastAsia"/>
        </w:rPr>
        <w:t>条）</w:t>
      </w:r>
    </w:p>
    <w:p w14:paraId="3C1E8CC5" w14:textId="77ADDD43" w:rsidR="005A55AB" w:rsidRDefault="005A55AB" w:rsidP="005A55AB">
      <w:pPr>
        <w:pStyle w:val="af0"/>
        <w:numPr>
          <w:ilvl w:val="1"/>
          <w:numId w:val="3"/>
        </w:numPr>
        <w:ind w:leftChars="0"/>
      </w:pPr>
      <w:r>
        <w:rPr>
          <w:rFonts w:hint="eastAsia"/>
        </w:rPr>
        <w:t>ノルウェーは、現在条約の目的に違反している</w:t>
      </w:r>
      <w:r>
        <w:rPr>
          <w:rFonts w:hint="eastAsia"/>
        </w:rPr>
        <w:t>2</w:t>
      </w:r>
      <w:r>
        <w:rPr>
          <w:rFonts w:hint="eastAsia"/>
        </w:rPr>
        <w:t>件の解釈宣言を</w:t>
      </w:r>
      <w:r w:rsidR="00D03DC5">
        <w:rPr>
          <w:rFonts w:hint="eastAsia"/>
        </w:rPr>
        <w:t>、</w:t>
      </w:r>
      <w:r>
        <w:rPr>
          <w:rFonts w:hint="eastAsia"/>
        </w:rPr>
        <w:t>いつ撤回するのか？</w:t>
      </w:r>
    </w:p>
    <w:p w14:paraId="64913910" w14:textId="514D1A64" w:rsidR="005A55AB" w:rsidRDefault="005A55AB" w:rsidP="005A55AB">
      <w:pPr>
        <w:pStyle w:val="af0"/>
        <w:numPr>
          <w:ilvl w:val="1"/>
          <w:numId w:val="3"/>
        </w:numPr>
        <w:ind w:leftChars="0"/>
      </w:pPr>
      <w:r>
        <w:t>CRPD</w:t>
      </w:r>
      <w:r>
        <w:rPr>
          <w:rFonts w:hint="eastAsia"/>
        </w:rPr>
        <w:t>は、いつ、どのように、ノルウェーの法律に組み込まれるのか？</w:t>
      </w:r>
    </w:p>
    <w:p w14:paraId="2AD96E42" w14:textId="3C1D3104" w:rsidR="005A55AB" w:rsidRDefault="005A55AB" w:rsidP="005A55AB">
      <w:pPr>
        <w:pStyle w:val="af0"/>
        <w:numPr>
          <w:ilvl w:val="1"/>
          <w:numId w:val="3"/>
        </w:numPr>
        <w:ind w:leftChars="0"/>
      </w:pPr>
      <w:r>
        <w:rPr>
          <w:rFonts w:hint="eastAsia"/>
        </w:rPr>
        <w:t>すべての</w:t>
      </w:r>
      <w:r w:rsidR="00CC1247">
        <w:rPr>
          <w:rFonts w:hint="eastAsia"/>
        </w:rPr>
        <w:t>自治</w:t>
      </w:r>
      <w:r>
        <w:rPr>
          <w:rFonts w:hint="eastAsia"/>
        </w:rPr>
        <w:t>政府</w:t>
      </w:r>
      <w:r w:rsidR="002A0BBF">
        <w:rPr>
          <w:rFonts w:hint="eastAsia"/>
        </w:rPr>
        <w:t>並びに</w:t>
      </w:r>
      <w:r>
        <w:rPr>
          <w:rFonts w:hint="eastAsia"/>
        </w:rPr>
        <w:t>地方自治体</w:t>
      </w:r>
      <w:r w:rsidR="002A0BBF">
        <w:rPr>
          <w:rFonts w:hint="eastAsia"/>
        </w:rPr>
        <w:t>及びあらゆる政策</w:t>
      </w:r>
      <w:r w:rsidR="00D03DC5">
        <w:rPr>
          <w:rFonts w:hint="eastAsia"/>
        </w:rPr>
        <w:t>分野</w:t>
      </w:r>
      <w:r w:rsidR="002A0BBF">
        <w:rPr>
          <w:rFonts w:hint="eastAsia"/>
        </w:rPr>
        <w:t>において、</w:t>
      </w:r>
      <w:r w:rsidR="00801782">
        <w:rPr>
          <w:rFonts w:hint="eastAsia"/>
        </w:rPr>
        <w:t>条約が</w:t>
      </w:r>
      <w:r w:rsidR="002A0BBF">
        <w:rPr>
          <w:rFonts w:hint="eastAsia"/>
        </w:rPr>
        <w:t>ど</w:t>
      </w:r>
      <w:r>
        <w:rPr>
          <w:rFonts w:hint="eastAsia"/>
        </w:rPr>
        <w:t>のように体系的に組み込まれ、実施され、調整され</w:t>
      </w:r>
      <w:r w:rsidR="002A0BBF">
        <w:rPr>
          <w:rFonts w:hint="eastAsia"/>
        </w:rPr>
        <w:t>るのか、また、障害</w:t>
      </w:r>
      <w:r w:rsidR="00CC1247">
        <w:rPr>
          <w:rFonts w:hint="eastAsia"/>
        </w:rPr>
        <w:t>者</w:t>
      </w:r>
      <w:r w:rsidR="002A0BBF">
        <w:rPr>
          <w:rFonts w:hint="eastAsia"/>
        </w:rPr>
        <w:t>団体がこのような過程において、どのように意見を求められ、参加するのか、</w:t>
      </w:r>
      <w:r>
        <w:rPr>
          <w:rFonts w:hint="eastAsia"/>
        </w:rPr>
        <w:t>情報を提供してください。</w:t>
      </w:r>
    </w:p>
    <w:p w14:paraId="3B38E93D" w14:textId="4004E123" w:rsidR="00071AF1" w:rsidRDefault="00071AF1" w:rsidP="005A55AB">
      <w:pPr>
        <w:pStyle w:val="af0"/>
        <w:numPr>
          <w:ilvl w:val="1"/>
          <w:numId w:val="3"/>
        </w:numPr>
        <w:ind w:leftChars="0"/>
      </w:pPr>
      <w:r>
        <w:rPr>
          <w:rFonts w:hint="eastAsia"/>
        </w:rPr>
        <w:t>サービス</w:t>
      </w:r>
      <w:r w:rsidR="00CC1247">
        <w:rPr>
          <w:rFonts w:hint="eastAsia"/>
        </w:rPr>
        <w:t>提供における</w:t>
      </w:r>
      <w:r>
        <w:rPr>
          <w:rFonts w:hint="eastAsia"/>
        </w:rPr>
        <w:t>市町村格差を軽減するために</w:t>
      </w:r>
      <w:r w:rsidR="00CC1247">
        <w:rPr>
          <w:rFonts w:hint="eastAsia"/>
        </w:rPr>
        <w:t>、</w:t>
      </w:r>
      <w:r>
        <w:rPr>
          <w:rFonts w:hint="eastAsia"/>
        </w:rPr>
        <w:t>ノルウェーはどのような方策を実施するのか、また、障害のある人のために予定されている戦略計画は、これらの格差の軽減にどのように貢献するのか？</w:t>
      </w:r>
    </w:p>
    <w:p w14:paraId="16E874AA" w14:textId="6B4FBF4E" w:rsidR="007F58A6" w:rsidRDefault="00BC7672" w:rsidP="005A55AB">
      <w:pPr>
        <w:pStyle w:val="af0"/>
        <w:numPr>
          <w:ilvl w:val="1"/>
          <w:numId w:val="3"/>
        </w:numPr>
        <w:ind w:leftChars="0"/>
      </w:pPr>
      <w:r>
        <w:rPr>
          <w:rFonts w:hint="eastAsia"/>
        </w:rPr>
        <w:t>警察署及び裁判所を含む公的・民間両部門における、条約に基づく義務を負うすべての人を対象とした</w:t>
      </w:r>
      <w:r>
        <w:t>CRPD</w:t>
      </w:r>
      <w:r>
        <w:rPr>
          <w:rFonts w:hint="eastAsia"/>
        </w:rPr>
        <w:t>に関する研修は、どのように実施されているのか？</w:t>
      </w:r>
    </w:p>
    <w:p w14:paraId="55B514F6" w14:textId="7A4CC0A3" w:rsidR="00071AF1" w:rsidRDefault="002F7212" w:rsidP="005A55AB">
      <w:pPr>
        <w:pStyle w:val="af0"/>
        <w:numPr>
          <w:ilvl w:val="1"/>
          <w:numId w:val="3"/>
        </w:numPr>
        <w:ind w:leftChars="0"/>
      </w:pPr>
      <w:r>
        <w:rPr>
          <w:rFonts w:hint="eastAsia"/>
        </w:rPr>
        <w:t>条約に基づ</w:t>
      </w:r>
      <w:r w:rsidR="00CC1247">
        <w:rPr>
          <w:rFonts w:hint="eastAsia"/>
        </w:rPr>
        <w:t>く自己の</w:t>
      </w:r>
      <w:r>
        <w:rPr>
          <w:rFonts w:hint="eastAsia"/>
        </w:rPr>
        <w:t>権利の保護を主張する人が</w:t>
      </w:r>
      <w:r w:rsidR="00CC1247">
        <w:rPr>
          <w:rFonts w:hint="eastAsia"/>
        </w:rPr>
        <w:t>、</w:t>
      </w:r>
      <w:r>
        <w:rPr>
          <w:rFonts w:hint="eastAsia"/>
        </w:rPr>
        <w:t>どのような救済策を利用できるか、示してください。</w:t>
      </w:r>
    </w:p>
    <w:p w14:paraId="772AF4BA" w14:textId="77777777" w:rsidR="00275210" w:rsidRDefault="00275210" w:rsidP="00275210"/>
    <w:p w14:paraId="517E0918" w14:textId="7A23EF49" w:rsidR="003B68D8" w:rsidRPr="00B64BF7" w:rsidRDefault="00F635E3" w:rsidP="00DC325D">
      <w:pPr>
        <w:pStyle w:val="af0"/>
        <w:numPr>
          <w:ilvl w:val="0"/>
          <w:numId w:val="3"/>
        </w:numPr>
        <w:ind w:leftChars="0"/>
        <w:rPr>
          <w:rFonts w:asciiTheme="majorEastAsia" w:eastAsiaTheme="majorEastAsia" w:hAnsiTheme="majorEastAsia"/>
        </w:rPr>
      </w:pPr>
      <w:r w:rsidRPr="00B64BF7">
        <w:rPr>
          <w:rFonts w:asciiTheme="majorEastAsia" w:eastAsiaTheme="majorEastAsia" w:hAnsiTheme="majorEastAsia" w:hint="eastAsia"/>
        </w:rPr>
        <w:t>特定の権利（第</w:t>
      </w:r>
      <w:r w:rsidRPr="00B64BF7">
        <w:rPr>
          <w:rFonts w:asciiTheme="majorEastAsia" w:eastAsiaTheme="majorEastAsia" w:hAnsiTheme="majorEastAsia"/>
        </w:rPr>
        <w:t>5</w:t>
      </w:r>
      <w:r w:rsidRPr="00B64BF7">
        <w:rPr>
          <w:rFonts w:asciiTheme="majorEastAsia" w:eastAsiaTheme="majorEastAsia" w:hAnsiTheme="majorEastAsia" w:hint="eastAsia"/>
        </w:rPr>
        <w:t>条</w:t>
      </w:r>
      <w:r w:rsidR="00CC1247" w:rsidRPr="00B64BF7">
        <w:rPr>
          <w:rFonts w:asciiTheme="majorEastAsia" w:eastAsiaTheme="majorEastAsia" w:hAnsiTheme="majorEastAsia" w:hint="eastAsia"/>
        </w:rPr>
        <w:t>～</w:t>
      </w:r>
      <w:r w:rsidRPr="00B64BF7">
        <w:rPr>
          <w:rFonts w:asciiTheme="majorEastAsia" w:eastAsiaTheme="majorEastAsia" w:hAnsiTheme="majorEastAsia" w:hint="eastAsia"/>
        </w:rPr>
        <w:t>第</w:t>
      </w:r>
      <w:r w:rsidRPr="00B64BF7">
        <w:rPr>
          <w:rFonts w:asciiTheme="majorEastAsia" w:eastAsiaTheme="majorEastAsia" w:hAnsiTheme="majorEastAsia"/>
        </w:rPr>
        <w:t>30</w:t>
      </w:r>
      <w:r w:rsidRPr="00B64BF7">
        <w:rPr>
          <w:rFonts w:asciiTheme="majorEastAsia" w:eastAsiaTheme="majorEastAsia" w:hAnsiTheme="majorEastAsia" w:hint="eastAsia"/>
        </w:rPr>
        <w:t>条）</w:t>
      </w:r>
    </w:p>
    <w:p w14:paraId="26E6F32E" w14:textId="4E7BD9C1" w:rsidR="00F635E3" w:rsidRPr="00B64BF7" w:rsidRDefault="00F635E3" w:rsidP="00F635E3">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5</w:t>
      </w:r>
      <w:r w:rsidRPr="00B64BF7">
        <w:rPr>
          <w:rFonts w:asciiTheme="majorEastAsia" w:eastAsiaTheme="majorEastAsia" w:hAnsiTheme="majorEastAsia" w:hint="eastAsia"/>
        </w:rPr>
        <w:t>条　平等</w:t>
      </w:r>
      <w:r w:rsidR="00CC1247" w:rsidRPr="00B64BF7">
        <w:rPr>
          <w:rFonts w:asciiTheme="majorEastAsia" w:eastAsiaTheme="majorEastAsia" w:hAnsiTheme="majorEastAsia" w:hint="eastAsia"/>
        </w:rPr>
        <w:t>及び</w:t>
      </w:r>
      <w:r w:rsidRPr="00B64BF7">
        <w:rPr>
          <w:rFonts w:asciiTheme="majorEastAsia" w:eastAsiaTheme="majorEastAsia" w:hAnsiTheme="majorEastAsia" w:hint="eastAsia"/>
        </w:rPr>
        <w:t>無差別</w:t>
      </w:r>
    </w:p>
    <w:p w14:paraId="3C9944A7" w14:textId="1A52B85C" w:rsidR="00F635E3" w:rsidRDefault="00F635E3" w:rsidP="00F635E3">
      <w:pPr>
        <w:pStyle w:val="af0"/>
        <w:numPr>
          <w:ilvl w:val="0"/>
          <w:numId w:val="4"/>
        </w:numPr>
        <w:ind w:leftChars="0"/>
      </w:pPr>
      <w:r>
        <w:rPr>
          <w:rFonts w:hint="eastAsia"/>
        </w:rPr>
        <w:t>制裁</w:t>
      </w:r>
      <w:r w:rsidR="007500A5">
        <w:rPr>
          <w:rFonts w:hint="eastAsia"/>
        </w:rPr>
        <w:t>を加える</w:t>
      </w:r>
      <w:r w:rsidR="00542839">
        <w:rPr>
          <w:rFonts w:hint="eastAsia"/>
        </w:rPr>
        <w:t>機会</w:t>
      </w:r>
      <w:r w:rsidR="00DC5752">
        <w:rPr>
          <w:rFonts w:hint="eastAsia"/>
        </w:rPr>
        <w:t>の欠如と</w:t>
      </w:r>
      <w:r w:rsidR="00542839">
        <w:rPr>
          <w:rFonts w:hint="eastAsia"/>
        </w:rPr>
        <w:t>法律扶助</w:t>
      </w:r>
      <w:r w:rsidR="00DC5752">
        <w:rPr>
          <w:rFonts w:hint="eastAsia"/>
        </w:rPr>
        <w:t>への不十分なアクセス</w:t>
      </w:r>
      <w:r w:rsidR="00542839">
        <w:rPr>
          <w:rFonts w:hint="eastAsia"/>
        </w:rPr>
        <w:t>は、差別に対する保護が十分に効果的ではないことを意味する。</w:t>
      </w:r>
      <w:r w:rsidR="00CD77A5">
        <w:rPr>
          <w:rFonts w:hint="eastAsia"/>
        </w:rPr>
        <w:t>法律扶助は</w:t>
      </w:r>
      <w:r w:rsidR="00A47F69">
        <w:rPr>
          <w:rFonts w:hint="eastAsia"/>
        </w:rPr>
        <w:t>、</w:t>
      </w:r>
      <w:r w:rsidR="00CD77A5">
        <w:rPr>
          <w:rFonts w:hint="eastAsia"/>
        </w:rPr>
        <w:t>差別</w:t>
      </w:r>
      <w:r w:rsidR="00DC5752">
        <w:rPr>
          <w:rFonts w:hint="eastAsia"/>
        </w:rPr>
        <w:t>事案</w:t>
      </w:r>
      <w:r w:rsidR="00CD77A5">
        <w:rPr>
          <w:rFonts w:hint="eastAsia"/>
        </w:rPr>
        <w:t>においては</w:t>
      </w:r>
      <w:r w:rsidR="00DC5752">
        <w:rPr>
          <w:rFonts w:hint="eastAsia"/>
        </w:rPr>
        <w:t>与えられ</w:t>
      </w:r>
      <w:r w:rsidR="00CD77A5">
        <w:rPr>
          <w:rFonts w:hint="eastAsia"/>
        </w:rPr>
        <w:t>ない。反差別審判所</w:t>
      </w:r>
      <w:r w:rsidR="007411CA">
        <w:rPr>
          <w:rFonts w:hint="eastAsia"/>
        </w:rPr>
        <w:t>（</w:t>
      </w:r>
      <w:r w:rsidR="007411CA" w:rsidRPr="007411CA">
        <w:t>Anti-Discrimination Tribunal</w:t>
      </w:r>
      <w:r w:rsidR="007411CA">
        <w:rPr>
          <w:rFonts w:hint="eastAsia"/>
        </w:rPr>
        <w:t>）</w:t>
      </w:r>
      <w:r w:rsidR="00CD77A5">
        <w:rPr>
          <w:rFonts w:hint="eastAsia"/>
        </w:rPr>
        <w:t>は</w:t>
      </w:r>
      <w:r w:rsidR="00512E9B">
        <w:rPr>
          <w:rFonts w:hint="eastAsia"/>
        </w:rPr>
        <w:t>、賠償と補償を</w:t>
      </w:r>
      <w:r w:rsidR="00E76A50">
        <w:rPr>
          <w:rFonts w:hint="eastAsia"/>
        </w:rPr>
        <w:t>課す</w:t>
      </w:r>
      <w:r w:rsidR="00512E9B">
        <w:rPr>
          <w:rFonts w:hint="eastAsia"/>
        </w:rPr>
        <w:t>限定的な権限を持つ</w:t>
      </w:r>
      <w:r w:rsidR="00CD77A5">
        <w:rPr>
          <w:rFonts w:hint="eastAsia"/>
        </w:rPr>
        <w:t>行政機関である。</w:t>
      </w:r>
      <w:r w:rsidR="00B52AE9">
        <w:rPr>
          <w:rFonts w:hint="eastAsia"/>
        </w:rPr>
        <w:t>審判所は</w:t>
      </w:r>
      <w:r w:rsidR="00A47F69">
        <w:rPr>
          <w:rFonts w:hint="eastAsia"/>
        </w:rPr>
        <w:t>、</w:t>
      </w:r>
      <w:r w:rsidR="00B52AE9">
        <w:rPr>
          <w:rFonts w:hint="eastAsia"/>
        </w:rPr>
        <w:t>雇用関係及び雇用主の選択に関連した</w:t>
      </w:r>
      <w:r w:rsidR="00E76A50">
        <w:rPr>
          <w:rFonts w:hint="eastAsia"/>
        </w:rPr>
        <w:t>賠償</w:t>
      </w:r>
      <w:r w:rsidR="000A5D82">
        <w:rPr>
          <w:rFonts w:hint="eastAsia"/>
        </w:rPr>
        <w:t>や</w:t>
      </w:r>
      <w:r w:rsidR="00B52AE9">
        <w:rPr>
          <w:rFonts w:hint="eastAsia"/>
        </w:rPr>
        <w:t>、自営業者</w:t>
      </w:r>
      <w:r w:rsidR="000A5D82">
        <w:rPr>
          <w:rFonts w:hint="eastAsia"/>
        </w:rPr>
        <w:t>及び</w:t>
      </w:r>
      <w:r w:rsidR="00B52AE9">
        <w:rPr>
          <w:rFonts w:hint="eastAsia"/>
        </w:rPr>
        <w:t>被雇用</w:t>
      </w:r>
      <w:r w:rsidR="000A5D82">
        <w:rPr>
          <w:rFonts w:hint="eastAsia"/>
        </w:rPr>
        <w:t>者の取扱いに関する行政</w:t>
      </w:r>
      <w:r w:rsidR="00B52AE9">
        <w:rPr>
          <w:rFonts w:hint="eastAsia"/>
        </w:rPr>
        <w:t>決定を下す</w:t>
      </w:r>
      <w:r w:rsidR="00793D75">
        <w:rPr>
          <w:rFonts w:hint="eastAsia"/>
        </w:rPr>
        <w:t>こと</w:t>
      </w:r>
      <w:r w:rsidR="00B52AE9">
        <w:rPr>
          <w:rFonts w:hint="eastAsia"/>
        </w:rPr>
        <w:t>が</w:t>
      </w:r>
      <w:r w:rsidR="0004203E">
        <w:rPr>
          <w:rFonts w:hint="eastAsia"/>
        </w:rPr>
        <w:t>でき</w:t>
      </w:r>
      <w:r w:rsidR="00B52AE9">
        <w:rPr>
          <w:rFonts w:hint="eastAsia"/>
        </w:rPr>
        <w:t>る。</w:t>
      </w:r>
      <w:r w:rsidR="0004203E">
        <w:rPr>
          <w:rFonts w:hint="eastAsia"/>
        </w:rPr>
        <w:t>また、</w:t>
      </w:r>
      <w:r w:rsidR="00B52AE9">
        <w:rPr>
          <w:rFonts w:hint="eastAsia"/>
        </w:rPr>
        <w:t>審判所は、被</w:t>
      </w:r>
      <w:r w:rsidR="00752C2A">
        <w:rPr>
          <w:rFonts w:hint="eastAsia"/>
        </w:rPr>
        <w:t>申立人</w:t>
      </w:r>
      <w:r w:rsidR="00B52AE9">
        <w:rPr>
          <w:rFonts w:hint="eastAsia"/>
        </w:rPr>
        <w:t>による唯一の</w:t>
      </w:r>
      <w:r w:rsidR="003F23D6">
        <w:rPr>
          <w:rFonts w:hint="eastAsia"/>
        </w:rPr>
        <w:t>答弁</w:t>
      </w:r>
      <w:r w:rsidR="00F96B21">
        <w:rPr>
          <w:rFonts w:hint="eastAsia"/>
        </w:rPr>
        <w:t>が、無能力又は賃金又はその</w:t>
      </w:r>
      <w:r w:rsidR="007E7280">
        <w:rPr>
          <w:rFonts w:hint="eastAsia"/>
        </w:rPr>
        <w:t>他の明らかに</w:t>
      </w:r>
      <w:r w:rsidR="00822D52">
        <w:rPr>
          <w:rFonts w:hint="eastAsia"/>
        </w:rPr>
        <w:t>支持しがたい</w:t>
      </w:r>
      <w:r w:rsidR="00694C89">
        <w:rPr>
          <w:rFonts w:hint="eastAsia"/>
        </w:rPr>
        <w:t>反論</w:t>
      </w:r>
      <w:r w:rsidR="008078BE">
        <w:rPr>
          <w:rFonts w:hint="eastAsia"/>
        </w:rPr>
        <w:t>に関するものである</w:t>
      </w:r>
      <w:r w:rsidR="007E7280">
        <w:rPr>
          <w:rFonts w:hint="eastAsia"/>
        </w:rPr>
        <w:t>場合、</w:t>
      </w:r>
      <w:r w:rsidR="00F40584">
        <w:rPr>
          <w:rFonts w:hint="eastAsia"/>
        </w:rPr>
        <w:t>全会一致</w:t>
      </w:r>
      <w:r w:rsidR="00694C89">
        <w:rPr>
          <w:rFonts w:hint="eastAsia"/>
        </w:rPr>
        <w:t>により、</w:t>
      </w:r>
      <w:r w:rsidR="00B52AE9">
        <w:rPr>
          <w:rFonts w:hint="eastAsia"/>
        </w:rPr>
        <w:t>補償に関する行政決定</w:t>
      </w:r>
      <w:r w:rsidR="007E7280">
        <w:rPr>
          <w:rFonts w:hint="eastAsia"/>
        </w:rPr>
        <w:t>を下すことが</w:t>
      </w:r>
      <w:r w:rsidR="0004203E">
        <w:rPr>
          <w:rFonts w:hint="eastAsia"/>
        </w:rPr>
        <w:t>でき</w:t>
      </w:r>
      <w:r w:rsidR="007E7280">
        <w:rPr>
          <w:rFonts w:hint="eastAsia"/>
        </w:rPr>
        <w:t>る。</w:t>
      </w:r>
      <w:r w:rsidR="007E7280">
        <w:rPr>
          <w:rStyle w:val="a8"/>
        </w:rPr>
        <w:endnoteReference w:id="12"/>
      </w:r>
      <w:r w:rsidR="00EB7406">
        <w:rPr>
          <w:rFonts w:hint="eastAsia"/>
        </w:rPr>
        <w:t>審判所に対する苦情申立は、通常裁判所への訴えの前に義務付けられているものではない。裁判に持ち込まれる差別</w:t>
      </w:r>
      <w:r w:rsidR="00F40584">
        <w:rPr>
          <w:rFonts w:hint="eastAsia"/>
        </w:rPr>
        <w:t>事案</w:t>
      </w:r>
      <w:r w:rsidR="00EB7406">
        <w:rPr>
          <w:rFonts w:hint="eastAsia"/>
        </w:rPr>
        <w:t>は</w:t>
      </w:r>
      <w:r w:rsidR="00F40584">
        <w:rPr>
          <w:rFonts w:hint="eastAsia"/>
        </w:rPr>
        <w:t>極めて</w:t>
      </w:r>
      <w:r w:rsidR="00EB7406">
        <w:rPr>
          <w:rFonts w:hint="eastAsia"/>
        </w:rPr>
        <w:t>少ない。</w:t>
      </w:r>
      <w:r w:rsidR="00EB7406">
        <w:rPr>
          <w:rStyle w:val="a8"/>
        </w:rPr>
        <w:endnoteReference w:id="13"/>
      </w:r>
    </w:p>
    <w:p w14:paraId="084A45C5" w14:textId="1C5FE198" w:rsidR="00EB7406" w:rsidRDefault="006F5075" w:rsidP="002301DC">
      <w:pPr>
        <w:pStyle w:val="af0"/>
        <w:numPr>
          <w:ilvl w:val="0"/>
          <w:numId w:val="4"/>
        </w:numPr>
        <w:ind w:leftChars="0"/>
      </w:pPr>
      <w:r>
        <w:rPr>
          <w:rFonts w:hint="eastAsia"/>
        </w:rPr>
        <w:t>障害のある子どもがいる</w:t>
      </w:r>
      <w:r w:rsidR="00430E57">
        <w:rPr>
          <w:rFonts w:hint="eastAsia"/>
        </w:rPr>
        <w:t>、移民としての背景を持つ家族は、意思疎通の問題と福祉制度に関する知識不足から、同じ障害のある子どもを持つ他の</w:t>
      </w:r>
      <w:r>
        <w:rPr>
          <w:rFonts w:hint="eastAsia"/>
        </w:rPr>
        <w:t>家族</w:t>
      </w:r>
      <w:r w:rsidR="002301DC">
        <w:rPr>
          <w:rFonts w:hint="eastAsia"/>
        </w:rPr>
        <w:t>と比較して</w:t>
      </w:r>
      <w:r w:rsidR="00430E57">
        <w:rPr>
          <w:rFonts w:hint="eastAsia"/>
        </w:rPr>
        <w:t>、</w:t>
      </w:r>
      <w:r>
        <w:rPr>
          <w:rFonts w:hint="eastAsia"/>
        </w:rPr>
        <w:t>公共サービス</w:t>
      </w:r>
      <w:r w:rsidR="00C84F4A">
        <w:rPr>
          <w:rFonts w:hint="eastAsia"/>
        </w:rPr>
        <w:t>へのアクセス</w:t>
      </w:r>
      <w:r>
        <w:rPr>
          <w:rFonts w:hint="eastAsia"/>
        </w:rPr>
        <w:t>が少ない。</w:t>
      </w:r>
      <w:r w:rsidR="002301DC">
        <w:rPr>
          <w:rStyle w:val="a8"/>
        </w:rPr>
        <w:endnoteReference w:id="14"/>
      </w:r>
      <w:r w:rsidR="00994EA3">
        <w:rPr>
          <w:rFonts w:hint="eastAsia"/>
        </w:rPr>
        <w:t>サーミ人としての背景を持つ障害のある人は、支援サービスにおける文化的</w:t>
      </w:r>
      <w:r w:rsidR="00ED6F0C">
        <w:rPr>
          <w:rFonts w:hint="eastAsia"/>
        </w:rPr>
        <w:t>障壁及び</w:t>
      </w:r>
      <w:r w:rsidR="00994EA3">
        <w:rPr>
          <w:rFonts w:hint="eastAsia"/>
        </w:rPr>
        <w:t>言語的障壁のために、彼らに</w:t>
      </w:r>
      <w:r w:rsidR="00430E57">
        <w:rPr>
          <w:rFonts w:hint="eastAsia"/>
        </w:rPr>
        <w:t>適し</w:t>
      </w:r>
      <w:r w:rsidR="00994EA3">
        <w:rPr>
          <w:rFonts w:hint="eastAsia"/>
        </w:rPr>
        <w:t>たサービスを平等に受け</w:t>
      </w:r>
      <w:r w:rsidR="00D272AB">
        <w:rPr>
          <w:rFonts w:hint="eastAsia"/>
        </w:rPr>
        <w:t>られて</w:t>
      </w:r>
      <w:r w:rsidR="00994EA3">
        <w:rPr>
          <w:rFonts w:hint="eastAsia"/>
        </w:rPr>
        <w:t>いない。</w:t>
      </w:r>
      <w:r w:rsidR="00D272AB">
        <w:rPr>
          <w:rStyle w:val="a8"/>
        </w:rPr>
        <w:endnoteReference w:id="15"/>
      </w:r>
    </w:p>
    <w:p w14:paraId="25D52E4B" w14:textId="784A1CB1" w:rsidR="00D272AB" w:rsidRDefault="00E76A50" w:rsidP="00D272AB">
      <w:pPr>
        <w:pStyle w:val="af0"/>
        <w:numPr>
          <w:ilvl w:val="1"/>
          <w:numId w:val="3"/>
        </w:numPr>
        <w:ind w:leftChars="0"/>
      </w:pPr>
      <w:r>
        <w:rPr>
          <w:rFonts w:hint="eastAsia"/>
        </w:rPr>
        <w:t>審判所の制裁権限を、労働</w:t>
      </w:r>
      <w:r w:rsidR="0085377E">
        <w:rPr>
          <w:rFonts w:hint="eastAsia"/>
        </w:rPr>
        <w:t>事件</w:t>
      </w:r>
      <w:r>
        <w:rPr>
          <w:rFonts w:hint="eastAsia"/>
        </w:rPr>
        <w:t>における賠償</w:t>
      </w:r>
      <w:r w:rsidR="00C01675">
        <w:rPr>
          <w:rFonts w:hint="eastAsia"/>
        </w:rPr>
        <w:t>や</w:t>
      </w:r>
      <w:r>
        <w:rPr>
          <w:rFonts w:hint="eastAsia"/>
        </w:rPr>
        <w:t>簡易</w:t>
      </w:r>
      <w:r w:rsidR="0085377E">
        <w:rPr>
          <w:rFonts w:hint="eastAsia"/>
        </w:rPr>
        <w:t>な</w:t>
      </w:r>
      <w:r w:rsidR="00E7063A">
        <w:rPr>
          <w:rFonts w:hint="eastAsia"/>
        </w:rPr>
        <w:t>事件</w:t>
      </w:r>
      <w:r>
        <w:rPr>
          <w:rFonts w:hint="eastAsia"/>
        </w:rPr>
        <w:t>における補償</w:t>
      </w:r>
      <w:r w:rsidR="00C01675">
        <w:rPr>
          <w:rFonts w:hint="eastAsia"/>
        </w:rPr>
        <w:t>を課すこと</w:t>
      </w:r>
      <w:r>
        <w:rPr>
          <w:rFonts w:hint="eastAsia"/>
        </w:rPr>
        <w:t>にとどめず</w:t>
      </w:r>
      <w:r w:rsidR="00D272AB">
        <w:rPr>
          <w:rFonts w:hint="eastAsia"/>
        </w:rPr>
        <w:t>拡大するために、政府はどのような計画を立てているのか？</w:t>
      </w:r>
    </w:p>
    <w:p w14:paraId="57A64C51" w14:textId="7D62B73A" w:rsidR="00C01675" w:rsidRDefault="00D97F1C" w:rsidP="00D272AB">
      <w:pPr>
        <w:pStyle w:val="af0"/>
        <w:numPr>
          <w:ilvl w:val="1"/>
          <w:numId w:val="3"/>
        </w:numPr>
        <w:ind w:leftChars="0"/>
      </w:pPr>
      <w:r>
        <w:rPr>
          <w:rFonts w:hint="eastAsia"/>
        </w:rPr>
        <w:t>障害のある先住民、国内少数派及び移民に、彼らの権利（条約に基づ</w:t>
      </w:r>
      <w:r w:rsidR="003153A4">
        <w:rPr>
          <w:rFonts w:hint="eastAsia"/>
        </w:rPr>
        <w:t>く</w:t>
      </w:r>
      <w:r>
        <w:rPr>
          <w:rFonts w:hint="eastAsia"/>
        </w:rPr>
        <w:t>、</w:t>
      </w:r>
      <w:r w:rsidR="00430E57">
        <w:rPr>
          <w:rFonts w:hint="eastAsia"/>
        </w:rPr>
        <w:t>公共</w:t>
      </w:r>
      <w:r w:rsidR="0043453E">
        <w:rPr>
          <w:rFonts w:hint="eastAsia"/>
        </w:rPr>
        <w:t>サービス及び</w:t>
      </w:r>
      <w:r w:rsidR="00430E57">
        <w:rPr>
          <w:rFonts w:hint="eastAsia"/>
        </w:rPr>
        <w:t>給付</w:t>
      </w:r>
      <w:r w:rsidR="0043453E">
        <w:rPr>
          <w:rFonts w:hint="eastAsia"/>
        </w:rPr>
        <w:t>を受ける権利）に関する情報</w:t>
      </w:r>
      <w:r w:rsidR="00430E57">
        <w:rPr>
          <w:rFonts w:hint="eastAsia"/>
        </w:rPr>
        <w:t>を</w:t>
      </w:r>
      <w:r w:rsidR="0043453E">
        <w:rPr>
          <w:rFonts w:hint="eastAsia"/>
        </w:rPr>
        <w:t>提供するために</w:t>
      </w:r>
      <w:r w:rsidR="00430E57">
        <w:rPr>
          <w:rFonts w:hint="eastAsia"/>
        </w:rPr>
        <w:t>、</w:t>
      </w:r>
      <w:r w:rsidR="0043453E">
        <w:rPr>
          <w:rFonts w:hint="eastAsia"/>
        </w:rPr>
        <w:t>どのような方策が講じられている</w:t>
      </w:r>
      <w:r w:rsidR="00B711F1">
        <w:rPr>
          <w:rFonts w:hint="eastAsia"/>
        </w:rPr>
        <w:t>の</w:t>
      </w:r>
      <w:r w:rsidR="0043453E">
        <w:rPr>
          <w:rFonts w:hint="eastAsia"/>
        </w:rPr>
        <w:t>か？</w:t>
      </w:r>
    </w:p>
    <w:p w14:paraId="6F98D799" w14:textId="0D7EC76C" w:rsidR="0043453E" w:rsidRPr="00B64BF7" w:rsidRDefault="0043453E" w:rsidP="0043453E">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6</w:t>
      </w:r>
      <w:r w:rsidRPr="00B64BF7">
        <w:rPr>
          <w:rFonts w:asciiTheme="majorEastAsia" w:eastAsiaTheme="majorEastAsia" w:hAnsiTheme="majorEastAsia" w:hint="eastAsia"/>
        </w:rPr>
        <w:t>条：障害のある女子</w:t>
      </w:r>
    </w:p>
    <w:p w14:paraId="730D673E" w14:textId="48CE4507" w:rsidR="00F635E3" w:rsidRDefault="008A2C57" w:rsidP="00F635E3">
      <w:pPr>
        <w:pStyle w:val="af0"/>
        <w:numPr>
          <w:ilvl w:val="0"/>
          <w:numId w:val="4"/>
        </w:numPr>
        <w:ind w:leftChars="0"/>
      </w:pPr>
      <w:r>
        <w:rPr>
          <w:rFonts w:hint="eastAsia"/>
        </w:rPr>
        <w:t>複合差別に関する研究が不足している。ノルウェーには、障害のある女性に関する十分な統計がない。障害のある人に関する研究に、ジェンダーの視点がほとんど含まれていない。</w:t>
      </w:r>
      <w:r w:rsidR="00EA03E8">
        <w:rPr>
          <w:rFonts w:hint="eastAsia"/>
        </w:rPr>
        <w:t>ジェンダー研究</w:t>
      </w:r>
      <w:r w:rsidR="0059632E">
        <w:rPr>
          <w:rFonts w:hint="eastAsia"/>
        </w:rPr>
        <w:t>で</w:t>
      </w:r>
      <w:r w:rsidR="00EA03E8">
        <w:rPr>
          <w:rFonts w:hint="eastAsia"/>
        </w:rPr>
        <w:t>は、障害のある女性</w:t>
      </w:r>
      <w:r w:rsidR="0059632E">
        <w:rPr>
          <w:rFonts w:hint="eastAsia"/>
        </w:rPr>
        <w:t>を</w:t>
      </w:r>
      <w:r w:rsidR="00EA03E8">
        <w:rPr>
          <w:rFonts w:hint="eastAsia"/>
        </w:rPr>
        <w:t>ほとんど</w:t>
      </w:r>
      <w:r w:rsidR="0059632E">
        <w:rPr>
          <w:rFonts w:hint="eastAsia"/>
        </w:rPr>
        <w:t>重視して</w:t>
      </w:r>
      <w:r w:rsidR="00EA03E8">
        <w:rPr>
          <w:rFonts w:hint="eastAsia"/>
        </w:rPr>
        <w:t>いない。</w:t>
      </w:r>
      <w:r w:rsidR="00EA03E8">
        <w:rPr>
          <w:rStyle w:val="a8"/>
        </w:rPr>
        <w:endnoteReference w:id="16"/>
      </w:r>
      <w:r w:rsidR="008620A0">
        <w:rPr>
          <w:rFonts w:hint="eastAsia"/>
        </w:rPr>
        <w:t>障害のある少年／男性に対する差別と比較すると、障害のある少女／女性に対する差別に関する研究はない。</w:t>
      </w:r>
      <w:r w:rsidR="008620A0">
        <w:rPr>
          <w:rStyle w:val="a8"/>
        </w:rPr>
        <w:endnoteReference w:id="17"/>
      </w:r>
      <w:r w:rsidR="008620A0">
        <w:rPr>
          <w:rFonts w:hint="eastAsia"/>
        </w:rPr>
        <w:t>最新のジェンダー平等政策である「ジェンダー平等</w:t>
      </w:r>
      <w:r w:rsidR="008620A0">
        <w:rPr>
          <w:rFonts w:hint="eastAsia"/>
        </w:rPr>
        <w:t>2014</w:t>
      </w:r>
      <w:r w:rsidR="008620A0">
        <w:rPr>
          <w:rFonts w:hint="eastAsia"/>
        </w:rPr>
        <w:t>」は、多次元的なアプローチをとっており、障害を含めているとされたが、障害を含めたイニシアティブ</w:t>
      </w:r>
      <w:r w:rsidR="0059632E">
        <w:rPr>
          <w:rFonts w:hint="eastAsia"/>
        </w:rPr>
        <w:t>やターゲット</w:t>
      </w:r>
      <w:r w:rsidR="008620A0">
        <w:rPr>
          <w:rFonts w:hint="eastAsia"/>
        </w:rPr>
        <w:t>を絞った方策はなかった。</w:t>
      </w:r>
      <w:r w:rsidR="008620A0">
        <w:rPr>
          <w:rStyle w:val="a8"/>
        </w:rPr>
        <w:endnoteReference w:id="18"/>
      </w:r>
    </w:p>
    <w:p w14:paraId="70C4D233" w14:textId="58A96170" w:rsidR="008620A0" w:rsidRDefault="00B47DA9" w:rsidP="008620A0">
      <w:pPr>
        <w:pStyle w:val="af0"/>
        <w:numPr>
          <w:ilvl w:val="1"/>
          <w:numId w:val="3"/>
        </w:numPr>
        <w:ind w:leftChars="0"/>
      </w:pPr>
      <w:r>
        <w:rPr>
          <w:rFonts w:hint="eastAsia"/>
        </w:rPr>
        <w:t>ジェンダー平等のための政府の政策全般、特に交差的平等政策に</w:t>
      </w:r>
      <w:r w:rsidR="008620A0">
        <w:rPr>
          <w:rFonts w:hint="eastAsia"/>
        </w:rPr>
        <w:t>障害の視点を含めるために、どのような方策が講じられてきたか？</w:t>
      </w:r>
    </w:p>
    <w:p w14:paraId="42C74F32" w14:textId="0EC0A576" w:rsidR="00B47DA9" w:rsidRDefault="00B47DA9" w:rsidP="008620A0">
      <w:pPr>
        <w:pStyle w:val="af0"/>
        <w:numPr>
          <w:ilvl w:val="1"/>
          <w:numId w:val="3"/>
        </w:numPr>
        <w:ind w:leftChars="0"/>
      </w:pPr>
      <w:r>
        <w:rPr>
          <w:rFonts w:hint="eastAsia"/>
        </w:rPr>
        <w:t>複合差別に関する研究の増加を確保するために</w:t>
      </w:r>
      <w:r w:rsidR="00C44310">
        <w:rPr>
          <w:rFonts w:hint="eastAsia"/>
        </w:rPr>
        <w:t>、</w:t>
      </w:r>
      <w:r>
        <w:rPr>
          <w:rFonts w:hint="eastAsia"/>
        </w:rPr>
        <w:t>何がなされるのか？</w:t>
      </w:r>
    </w:p>
    <w:p w14:paraId="4CCD94F6" w14:textId="36BEB7EE" w:rsidR="00B47DA9" w:rsidRPr="00B64BF7" w:rsidRDefault="00B47DA9" w:rsidP="00B47DA9">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7</w:t>
      </w:r>
      <w:r w:rsidRPr="00B64BF7">
        <w:rPr>
          <w:rFonts w:asciiTheme="majorEastAsia" w:eastAsiaTheme="majorEastAsia" w:hAnsiTheme="majorEastAsia" w:hint="eastAsia"/>
        </w:rPr>
        <w:t>条：障害のある児童</w:t>
      </w:r>
    </w:p>
    <w:p w14:paraId="2B102CF6" w14:textId="51A7D757" w:rsidR="008620A0" w:rsidRDefault="007E6BD6" w:rsidP="00F635E3">
      <w:pPr>
        <w:pStyle w:val="af0"/>
        <w:numPr>
          <w:ilvl w:val="0"/>
          <w:numId w:val="4"/>
        </w:numPr>
        <w:ind w:leftChars="0"/>
      </w:pPr>
      <w:r>
        <w:rPr>
          <w:rFonts w:hint="eastAsia"/>
        </w:rPr>
        <w:t>教育法</w:t>
      </w:r>
      <w:r w:rsidR="00EC05DB">
        <w:rPr>
          <w:rStyle w:val="a8"/>
        </w:rPr>
        <w:endnoteReference w:id="19"/>
      </w:r>
      <w:r w:rsidR="00EC05DB">
        <w:rPr>
          <w:rFonts w:hint="eastAsia"/>
        </w:rPr>
        <w:t>、患者</w:t>
      </w:r>
      <w:r w:rsidR="00D831BF">
        <w:rPr>
          <w:rFonts w:hint="eastAsia"/>
        </w:rPr>
        <w:t>及び</w:t>
      </w:r>
      <w:r w:rsidR="00EC05DB">
        <w:rPr>
          <w:rFonts w:hint="eastAsia"/>
        </w:rPr>
        <w:t>利用者</w:t>
      </w:r>
      <w:r w:rsidR="00D831BF">
        <w:rPr>
          <w:rFonts w:hint="eastAsia"/>
        </w:rPr>
        <w:t>の権利</w:t>
      </w:r>
      <w:r w:rsidR="00EC05DB">
        <w:rPr>
          <w:rFonts w:hint="eastAsia"/>
        </w:rPr>
        <w:t>法</w:t>
      </w:r>
      <w:r w:rsidR="007411CA">
        <w:rPr>
          <w:rFonts w:hint="eastAsia"/>
        </w:rPr>
        <w:t>（</w:t>
      </w:r>
      <w:r w:rsidR="007411CA">
        <w:rPr>
          <w:rFonts w:hint="eastAsia"/>
        </w:rPr>
        <w:t>P</w:t>
      </w:r>
      <w:r w:rsidR="007411CA">
        <w:t>atients’ and Users’ Rights Ac</w:t>
      </w:r>
      <w:r w:rsidR="007411CA">
        <w:rPr>
          <w:rFonts w:hint="eastAsia"/>
        </w:rPr>
        <w:t>t</w:t>
      </w:r>
      <w:r w:rsidR="007411CA">
        <w:rPr>
          <w:rFonts w:hint="eastAsia"/>
        </w:rPr>
        <w:t>）</w:t>
      </w:r>
      <w:r w:rsidR="00EC05DB">
        <w:rPr>
          <w:rStyle w:val="a8"/>
        </w:rPr>
        <w:endnoteReference w:id="20"/>
      </w:r>
      <w:r>
        <w:rPr>
          <w:rFonts w:hint="eastAsia"/>
        </w:rPr>
        <w:t>など、障害のある</w:t>
      </w:r>
      <w:r w:rsidR="00513362">
        <w:rPr>
          <w:rFonts w:hint="eastAsia"/>
        </w:rPr>
        <w:t>子どもと</w:t>
      </w:r>
      <w:r>
        <w:rPr>
          <w:rFonts w:hint="eastAsia"/>
        </w:rPr>
        <w:t>若者に関する重要な法律</w:t>
      </w:r>
      <w:r w:rsidR="00EC05DB">
        <w:rPr>
          <w:rFonts w:hint="eastAsia"/>
        </w:rPr>
        <w:t>において</w:t>
      </w:r>
      <w:r>
        <w:rPr>
          <w:rFonts w:hint="eastAsia"/>
        </w:rPr>
        <w:t>、子どもの最善の利益の原則に言及していない。</w:t>
      </w:r>
      <w:r w:rsidR="00513362">
        <w:rPr>
          <w:rFonts w:hint="eastAsia"/>
        </w:rPr>
        <w:t>児童の権利</w:t>
      </w:r>
      <w:r w:rsidR="00EC05DB">
        <w:rPr>
          <w:rFonts w:hint="eastAsia"/>
        </w:rPr>
        <w:t>委員会はノルウェーに対し、子どもに影響を与える可能性があるすべての法令において、この原則を強調する</w:t>
      </w:r>
      <w:r w:rsidR="00513362">
        <w:rPr>
          <w:rFonts w:hint="eastAsia"/>
        </w:rPr>
        <w:t>ことを</w:t>
      </w:r>
      <w:r w:rsidR="00EC05DB">
        <w:rPr>
          <w:rFonts w:hint="eastAsia"/>
        </w:rPr>
        <w:t>強く求めている。</w:t>
      </w:r>
      <w:r w:rsidR="00EC05DB">
        <w:rPr>
          <w:rStyle w:val="a8"/>
        </w:rPr>
        <w:endnoteReference w:id="21"/>
      </w:r>
      <w:r w:rsidR="006C0F16">
        <w:rPr>
          <w:rFonts w:hint="eastAsia"/>
        </w:rPr>
        <w:t>障害のある子どもの権利の実現</w:t>
      </w:r>
      <w:r w:rsidR="0052699D">
        <w:rPr>
          <w:rFonts w:hint="eastAsia"/>
        </w:rPr>
        <w:t>について耳を傾けてもらい、影響を及ぼすための</w:t>
      </w:r>
      <w:r w:rsidR="006C0F16">
        <w:rPr>
          <w:rFonts w:hint="eastAsia"/>
        </w:rPr>
        <w:t>研究は</w:t>
      </w:r>
      <w:r w:rsidR="00513362">
        <w:rPr>
          <w:rFonts w:hint="eastAsia"/>
        </w:rPr>
        <w:t>、</w:t>
      </w:r>
      <w:r w:rsidR="006C0F16">
        <w:rPr>
          <w:rFonts w:hint="eastAsia"/>
        </w:rPr>
        <w:t>ほとんど行われてこなかった。</w:t>
      </w:r>
      <w:r w:rsidR="0052699D">
        <w:rPr>
          <w:rFonts w:hint="eastAsia"/>
        </w:rPr>
        <w:t>既存の研究は、</w:t>
      </w:r>
      <w:r w:rsidR="00EA6C44">
        <w:rPr>
          <w:rFonts w:hint="eastAsia"/>
        </w:rPr>
        <w:t>障害のある</w:t>
      </w:r>
      <w:r w:rsidR="0052699D">
        <w:rPr>
          <w:rFonts w:hint="eastAsia"/>
        </w:rPr>
        <w:t>子ども</w:t>
      </w:r>
      <w:r w:rsidR="00787B69">
        <w:rPr>
          <w:rFonts w:hint="eastAsia"/>
        </w:rPr>
        <w:t>が他の子どもに比べて、その</w:t>
      </w:r>
      <w:r w:rsidR="0052699D">
        <w:rPr>
          <w:rFonts w:hint="eastAsia"/>
        </w:rPr>
        <w:t>権利</w:t>
      </w:r>
      <w:r w:rsidR="00787B69">
        <w:rPr>
          <w:rFonts w:hint="eastAsia"/>
        </w:rPr>
        <w:t>を聞き入れられ</w:t>
      </w:r>
      <w:r w:rsidR="0052699D">
        <w:rPr>
          <w:rFonts w:hint="eastAsia"/>
        </w:rPr>
        <w:t>、尊重</w:t>
      </w:r>
      <w:r w:rsidR="00787B69">
        <w:rPr>
          <w:rFonts w:hint="eastAsia"/>
        </w:rPr>
        <w:t>される可能性が低い</w:t>
      </w:r>
      <w:r w:rsidR="0052699D">
        <w:rPr>
          <w:rFonts w:hint="eastAsia"/>
        </w:rPr>
        <w:t>と信じる</w:t>
      </w:r>
      <w:r w:rsidR="00787B69">
        <w:rPr>
          <w:rFonts w:hint="eastAsia"/>
        </w:rPr>
        <w:t>に足る理由を示している。</w:t>
      </w:r>
      <w:r w:rsidR="00513362">
        <w:rPr>
          <w:rFonts w:hint="eastAsia"/>
        </w:rPr>
        <w:t>例えば</w:t>
      </w:r>
      <w:r w:rsidR="00D12BF2">
        <w:rPr>
          <w:rFonts w:hint="eastAsia"/>
        </w:rPr>
        <w:t>、障害のある子どもは</w:t>
      </w:r>
      <w:r w:rsidR="00EA6C44">
        <w:rPr>
          <w:rFonts w:hint="eastAsia"/>
        </w:rPr>
        <w:t>、</w:t>
      </w:r>
      <w:r w:rsidR="00D12BF2">
        <w:rPr>
          <w:rFonts w:hint="eastAsia"/>
        </w:rPr>
        <w:t>教育部門における彼ら自身に関する決定にほとんど関与することがない。</w:t>
      </w:r>
      <w:r w:rsidR="00D12BF2">
        <w:rPr>
          <w:rStyle w:val="a8"/>
        </w:rPr>
        <w:endnoteReference w:id="22"/>
      </w:r>
    </w:p>
    <w:p w14:paraId="7A9C2853" w14:textId="37AF362E" w:rsidR="0054767C" w:rsidRDefault="0054767C" w:rsidP="0054767C">
      <w:pPr>
        <w:pStyle w:val="af0"/>
        <w:numPr>
          <w:ilvl w:val="1"/>
          <w:numId w:val="3"/>
        </w:numPr>
        <w:ind w:leftChars="0"/>
      </w:pPr>
      <w:r>
        <w:rPr>
          <w:rFonts w:hint="eastAsia"/>
        </w:rPr>
        <w:t>子どもの最善の利益の原則を</w:t>
      </w:r>
      <w:r w:rsidR="00513362">
        <w:rPr>
          <w:rFonts w:hint="eastAsia"/>
        </w:rPr>
        <w:t>、</w:t>
      </w:r>
      <w:r>
        <w:rPr>
          <w:rFonts w:hint="eastAsia"/>
        </w:rPr>
        <w:t>教育法</w:t>
      </w:r>
      <w:r w:rsidR="00553DDE">
        <w:rPr>
          <w:rFonts w:hint="eastAsia"/>
        </w:rPr>
        <w:t>と</w:t>
      </w:r>
      <w:r>
        <w:rPr>
          <w:rFonts w:hint="eastAsia"/>
        </w:rPr>
        <w:t>患者</w:t>
      </w:r>
      <w:r w:rsidR="00D831BF">
        <w:rPr>
          <w:rFonts w:hint="eastAsia"/>
        </w:rPr>
        <w:t>及び</w:t>
      </w:r>
      <w:r>
        <w:rPr>
          <w:rFonts w:hint="eastAsia"/>
        </w:rPr>
        <w:t>利用者</w:t>
      </w:r>
      <w:r w:rsidR="00D831BF">
        <w:rPr>
          <w:rFonts w:hint="eastAsia"/>
        </w:rPr>
        <w:t>の権利</w:t>
      </w:r>
      <w:r>
        <w:rPr>
          <w:rFonts w:hint="eastAsia"/>
        </w:rPr>
        <w:t>法に</w:t>
      </w:r>
      <w:r w:rsidR="003731B9">
        <w:rPr>
          <w:rFonts w:hint="eastAsia"/>
        </w:rPr>
        <w:t>組み込む</w:t>
      </w:r>
      <w:r>
        <w:rPr>
          <w:rFonts w:hint="eastAsia"/>
        </w:rPr>
        <w:t>ことを確保するために</w:t>
      </w:r>
      <w:r w:rsidR="00513362">
        <w:rPr>
          <w:rFonts w:hint="eastAsia"/>
        </w:rPr>
        <w:t>、</w:t>
      </w:r>
      <w:r>
        <w:rPr>
          <w:rFonts w:hint="eastAsia"/>
        </w:rPr>
        <w:t>政府はどのような計画を</w:t>
      </w:r>
      <w:r w:rsidR="00ED3E5B">
        <w:rPr>
          <w:rFonts w:hint="eastAsia"/>
        </w:rPr>
        <w:t>立てて</w:t>
      </w:r>
      <w:r>
        <w:rPr>
          <w:rFonts w:hint="eastAsia"/>
        </w:rPr>
        <w:t>いるのか？　障害のある子どもと若者が、</w:t>
      </w:r>
      <w:r w:rsidR="00073B72">
        <w:rPr>
          <w:rFonts w:hint="eastAsia"/>
        </w:rPr>
        <w:t>自ら</w:t>
      </w:r>
      <w:r>
        <w:rPr>
          <w:rFonts w:hint="eastAsia"/>
        </w:rPr>
        <w:t>思</w:t>
      </w:r>
      <w:r w:rsidR="00073B72">
        <w:rPr>
          <w:rFonts w:hint="eastAsia"/>
        </w:rPr>
        <w:t>うままに</w:t>
      </w:r>
      <w:r>
        <w:rPr>
          <w:rFonts w:hint="eastAsia"/>
        </w:rPr>
        <w:t>、かつ、他の子どもと同じ</w:t>
      </w:r>
      <w:r w:rsidR="00073B72">
        <w:rPr>
          <w:rFonts w:hint="eastAsia"/>
        </w:rPr>
        <w:t>基準で</w:t>
      </w:r>
      <w:r w:rsidR="00513362">
        <w:rPr>
          <w:rFonts w:hint="eastAsia"/>
        </w:rPr>
        <w:t>、</w:t>
      </w:r>
      <w:r w:rsidR="00073B72">
        <w:rPr>
          <w:rFonts w:hint="eastAsia"/>
        </w:rPr>
        <w:t>意見を聞き入れてもらうことを</w:t>
      </w:r>
      <w:r>
        <w:rPr>
          <w:rFonts w:hint="eastAsia"/>
        </w:rPr>
        <w:t>確保するために</w:t>
      </w:r>
      <w:r w:rsidR="00073B72">
        <w:rPr>
          <w:rFonts w:hint="eastAsia"/>
        </w:rPr>
        <w:t>、</w:t>
      </w:r>
      <w:r>
        <w:rPr>
          <w:rFonts w:hint="eastAsia"/>
        </w:rPr>
        <w:t>政府はどのような計画を</w:t>
      </w:r>
      <w:r w:rsidR="00ED3E5B">
        <w:rPr>
          <w:rFonts w:hint="eastAsia"/>
        </w:rPr>
        <w:t>立てて</w:t>
      </w:r>
      <w:r>
        <w:rPr>
          <w:rFonts w:hint="eastAsia"/>
        </w:rPr>
        <w:t>いるのか？</w:t>
      </w:r>
    </w:p>
    <w:p w14:paraId="7BDC12B8" w14:textId="1AD54302" w:rsidR="00073B72" w:rsidRPr="00B64BF7" w:rsidRDefault="00073B72" w:rsidP="00073B72">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8</w:t>
      </w:r>
      <w:r w:rsidRPr="00B64BF7">
        <w:rPr>
          <w:rFonts w:asciiTheme="majorEastAsia" w:eastAsiaTheme="majorEastAsia" w:hAnsiTheme="majorEastAsia" w:hint="eastAsia"/>
        </w:rPr>
        <w:t>条：意識の向上</w:t>
      </w:r>
    </w:p>
    <w:p w14:paraId="45C047C0" w14:textId="05ED163A" w:rsidR="0054767C" w:rsidRDefault="00E71C41" w:rsidP="00F635E3">
      <w:pPr>
        <w:pStyle w:val="af0"/>
        <w:numPr>
          <w:ilvl w:val="0"/>
          <w:numId w:val="4"/>
        </w:numPr>
        <w:ind w:leftChars="0"/>
      </w:pPr>
      <w:r>
        <w:rPr>
          <w:rFonts w:hint="eastAsia"/>
        </w:rPr>
        <w:t>障害のある人の権利に関する無差別の意識を確保するため</w:t>
      </w:r>
      <w:r w:rsidR="004E0896">
        <w:rPr>
          <w:rFonts w:hint="eastAsia"/>
        </w:rPr>
        <w:t>に</w:t>
      </w:r>
      <w:r>
        <w:rPr>
          <w:rFonts w:hint="eastAsia"/>
        </w:rPr>
        <w:t>国が主導する公衆の意識の啓発活動は</w:t>
      </w:r>
      <w:r w:rsidR="001722DE">
        <w:rPr>
          <w:rFonts w:hint="eastAsia"/>
        </w:rPr>
        <w:t>、</w:t>
      </w:r>
      <w:r>
        <w:rPr>
          <w:rFonts w:hint="eastAsia"/>
        </w:rPr>
        <w:t>ほとんどない。</w:t>
      </w:r>
      <w:r w:rsidR="004E0896">
        <w:rPr>
          <w:rFonts w:hint="eastAsia"/>
        </w:rPr>
        <w:t>政府の主導で実施されてきた多数の重要な研究は、障害のある人を含まない少数派に対する公衆の態度に関するものであった。</w:t>
      </w:r>
      <w:r w:rsidR="004E0896">
        <w:rPr>
          <w:rStyle w:val="a8"/>
        </w:rPr>
        <w:endnoteReference w:id="23"/>
      </w:r>
      <w:r w:rsidR="0010372C">
        <w:rPr>
          <w:rFonts w:hint="eastAsia"/>
        </w:rPr>
        <w:t>障害のある人は、定型化された観念及び否定的な態度と闘うための公衆の意識向上の取り組みには含まれていない。</w:t>
      </w:r>
      <w:r w:rsidR="0010372C">
        <w:rPr>
          <w:rStyle w:val="a8"/>
        </w:rPr>
        <w:endnoteReference w:id="24"/>
      </w:r>
      <w:r w:rsidR="00566D04">
        <w:rPr>
          <w:rFonts w:hint="eastAsia"/>
        </w:rPr>
        <w:t>メディアはしばしば、障害のある人を定型化された観念と偏見のある言葉に基づき表現する。</w:t>
      </w:r>
    </w:p>
    <w:p w14:paraId="7C8D9B11" w14:textId="58C639BC" w:rsidR="00566D04" w:rsidRDefault="00566D04" w:rsidP="00566D04">
      <w:pPr>
        <w:pStyle w:val="af0"/>
        <w:numPr>
          <w:ilvl w:val="1"/>
          <w:numId w:val="3"/>
        </w:numPr>
        <w:ind w:leftChars="0"/>
      </w:pPr>
      <w:r>
        <w:rPr>
          <w:rFonts w:hint="eastAsia"/>
        </w:rPr>
        <w:t>障害のある人に関する定型化された観念と偏見を防ぐために、政府によってどのような方策が講じられてきたのか、また、今後講じられるのか？</w:t>
      </w:r>
    </w:p>
    <w:p w14:paraId="47A1D9A2" w14:textId="78BE1E41" w:rsidR="00566D04" w:rsidRPr="00B64BF7" w:rsidRDefault="00566D04" w:rsidP="00566D04">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9</w:t>
      </w:r>
      <w:r w:rsidRPr="00B64BF7">
        <w:rPr>
          <w:rFonts w:asciiTheme="majorEastAsia" w:eastAsiaTheme="majorEastAsia" w:hAnsiTheme="majorEastAsia" w:hint="eastAsia"/>
        </w:rPr>
        <w:t>条：施設及びサービスの利用の容易さ</w:t>
      </w:r>
    </w:p>
    <w:p w14:paraId="58E137AD" w14:textId="4BEA37BF" w:rsidR="00566D04" w:rsidRDefault="000E7FEF" w:rsidP="00F635E3">
      <w:pPr>
        <w:pStyle w:val="af0"/>
        <w:numPr>
          <w:ilvl w:val="0"/>
          <w:numId w:val="4"/>
        </w:numPr>
        <w:ind w:leftChars="0"/>
      </w:pPr>
      <w:r>
        <w:rPr>
          <w:rFonts w:hint="eastAsia"/>
        </w:rPr>
        <w:t>計画・建築法では、新規の建築物についてはユニバーサルデザインの要件</w:t>
      </w:r>
      <w:r w:rsidR="00DC604F">
        <w:rPr>
          <w:rFonts w:hint="eastAsia"/>
        </w:rPr>
        <w:t>が</w:t>
      </w:r>
      <w:r>
        <w:rPr>
          <w:rFonts w:hint="eastAsia"/>
        </w:rPr>
        <w:t>定め</w:t>
      </w:r>
      <w:r w:rsidR="00DC604F">
        <w:rPr>
          <w:rFonts w:hint="eastAsia"/>
        </w:rPr>
        <w:t>られ</w:t>
      </w:r>
      <w:r>
        <w:rPr>
          <w:rFonts w:hint="eastAsia"/>
        </w:rPr>
        <w:t>ているが、</w:t>
      </w:r>
      <w:r w:rsidRPr="000E7FEF">
        <w:rPr>
          <w:rFonts w:hint="eastAsia"/>
          <w:i/>
        </w:rPr>
        <w:t>既存の</w:t>
      </w:r>
      <w:r w:rsidR="00CB0B4F">
        <w:rPr>
          <w:rFonts w:hint="eastAsia"/>
        </w:rPr>
        <w:t>建築物及び輸送形態については</w:t>
      </w:r>
      <w:r w:rsidR="00513362">
        <w:rPr>
          <w:rFonts w:hint="eastAsia"/>
        </w:rPr>
        <w:t>、</w:t>
      </w:r>
      <w:r>
        <w:rPr>
          <w:rFonts w:hint="eastAsia"/>
        </w:rPr>
        <w:t>ユニバーサルデザインを適用しなければならない期限</w:t>
      </w:r>
      <w:r w:rsidR="00DC604F">
        <w:rPr>
          <w:rFonts w:hint="eastAsia"/>
        </w:rPr>
        <w:t>は</w:t>
      </w:r>
      <w:r>
        <w:rPr>
          <w:rFonts w:hint="eastAsia"/>
        </w:rPr>
        <w:t>設定されていない。</w:t>
      </w:r>
      <w:r w:rsidR="004F68D3">
        <w:rPr>
          <w:rFonts w:hint="eastAsia"/>
        </w:rPr>
        <w:t>規則</w:t>
      </w:r>
      <w:r w:rsidR="0011160C">
        <w:rPr>
          <w:rFonts w:hint="eastAsia"/>
        </w:rPr>
        <w:t>で</w:t>
      </w:r>
      <w:r w:rsidR="00DC5226">
        <w:rPr>
          <w:rFonts w:hint="eastAsia"/>
        </w:rPr>
        <w:t>定められ</w:t>
      </w:r>
      <w:r w:rsidR="0011160C">
        <w:rPr>
          <w:rFonts w:hint="eastAsia"/>
        </w:rPr>
        <w:t>た</w:t>
      </w:r>
      <w:r w:rsidR="00DC5226">
        <w:rPr>
          <w:rFonts w:hint="eastAsia"/>
        </w:rPr>
        <w:t>法定期限は、</w:t>
      </w:r>
      <w:r w:rsidR="00DC5226">
        <w:rPr>
          <w:rFonts w:hint="eastAsia"/>
        </w:rPr>
        <w:t>2008</w:t>
      </w:r>
      <w:r w:rsidR="00CB0B4F">
        <w:rPr>
          <w:rFonts w:hint="eastAsia"/>
        </w:rPr>
        <w:t>年</w:t>
      </w:r>
      <w:r w:rsidR="00D05142">
        <w:rPr>
          <w:rFonts w:hint="eastAsia"/>
        </w:rPr>
        <w:t>に同法</w:t>
      </w:r>
      <w:r w:rsidR="00DC5226">
        <w:rPr>
          <w:rFonts w:hint="eastAsia"/>
        </w:rPr>
        <w:t>の</w:t>
      </w:r>
      <w:r w:rsidR="007B5CBC">
        <w:rPr>
          <w:rFonts w:hint="eastAsia"/>
        </w:rPr>
        <w:t>〔</w:t>
      </w:r>
      <w:r w:rsidR="00D0528E">
        <w:rPr>
          <w:rFonts w:hint="eastAsia"/>
        </w:rPr>
        <w:t>訳注：</w:t>
      </w:r>
      <w:r w:rsidR="007B5CBC">
        <w:rPr>
          <w:rFonts w:hint="eastAsia"/>
        </w:rPr>
        <w:t>改正〕</w:t>
      </w:r>
      <w:r w:rsidR="00AD610A">
        <w:rPr>
          <w:rFonts w:hint="eastAsia"/>
        </w:rPr>
        <w:t>準備</w:t>
      </w:r>
      <w:r w:rsidR="00DC5226">
        <w:rPr>
          <w:rFonts w:hint="eastAsia"/>
        </w:rPr>
        <w:t>作業</w:t>
      </w:r>
      <w:r w:rsidR="007B5CBC">
        <w:rPr>
          <w:rFonts w:hint="eastAsia"/>
        </w:rPr>
        <w:t>を進める中で</w:t>
      </w:r>
      <w:r w:rsidR="004F710A">
        <w:rPr>
          <w:rFonts w:hint="eastAsia"/>
        </w:rPr>
        <w:t>仮に決められた</w:t>
      </w:r>
      <w:r w:rsidR="00C52B7F">
        <w:rPr>
          <w:rFonts w:hint="eastAsia"/>
        </w:rPr>
        <w:t>も</w:t>
      </w:r>
      <w:r w:rsidR="00DC5226">
        <w:rPr>
          <w:rFonts w:hint="eastAsia"/>
        </w:rPr>
        <w:t>ので、採択はされていない。</w:t>
      </w:r>
      <w:r w:rsidR="00F35418">
        <w:rPr>
          <w:rStyle w:val="a8"/>
        </w:rPr>
        <w:endnoteReference w:id="25"/>
      </w:r>
    </w:p>
    <w:p w14:paraId="0B9AE7DA" w14:textId="22893A83" w:rsidR="0011160C" w:rsidRDefault="0011160C" w:rsidP="00F635E3">
      <w:pPr>
        <w:pStyle w:val="af0"/>
        <w:numPr>
          <w:ilvl w:val="0"/>
          <w:numId w:val="4"/>
        </w:numPr>
        <w:ind w:leftChars="0"/>
      </w:pPr>
      <w:r>
        <w:rPr>
          <w:rFonts w:hint="eastAsia"/>
        </w:rPr>
        <w:t>政府の</w:t>
      </w:r>
      <w:r w:rsidR="004F710A">
        <w:rPr>
          <w:rFonts w:hint="eastAsia"/>
        </w:rPr>
        <w:t>ユニバーサルデザインに関する</w:t>
      </w:r>
      <w:r>
        <w:rPr>
          <w:rFonts w:hint="eastAsia"/>
        </w:rPr>
        <w:t>行動計画</w:t>
      </w:r>
      <w:r w:rsidR="001722DE">
        <w:rPr>
          <w:rFonts w:hint="eastAsia"/>
        </w:rPr>
        <w:t>2015</w:t>
      </w:r>
      <w:r w:rsidR="001722DE">
        <w:rPr>
          <w:rFonts w:hint="eastAsia"/>
        </w:rPr>
        <w:t>～</w:t>
      </w:r>
      <w:r w:rsidR="001722DE">
        <w:rPr>
          <w:rFonts w:hint="eastAsia"/>
        </w:rPr>
        <w:t>2019</w:t>
      </w:r>
      <w:r>
        <w:rPr>
          <w:rFonts w:hint="eastAsia"/>
        </w:rPr>
        <w:t>では、ノルウェーが</w:t>
      </w:r>
      <w:r>
        <w:rPr>
          <w:rFonts w:hint="eastAsia"/>
        </w:rPr>
        <w:t>2025</w:t>
      </w:r>
      <w:r>
        <w:rPr>
          <w:rFonts w:hint="eastAsia"/>
        </w:rPr>
        <w:t>年までにユニバーサルデザインを実現するという期限を定めた構想が撤回され、誰もが参加できる社会という構想に置き換えられた。</w:t>
      </w:r>
      <w:r>
        <w:rPr>
          <w:rStyle w:val="a8"/>
        </w:rPr>
        <w:endnoteReference w:id="26"/>
      </w:r>
      <w:r>
        <w:rPr>
          <w:rFonts w:hint="eastAsia"/>
        </w:rPr>
        <w:t>期限</w:t>
      </w:r>
      <w:r w:rsidR="007900FB">
        <w:rPr>
          <w:rFonts w:hint="eastAsia"/>
        </w:rPr>
        <w:t>がなくな</w:t>
      </w:r>
      <w:r w:rsidR="007C1420">
        <w:rPr>
          <w:rFonts w:hint="eastAsia"/>
        </w:rPr>
        <w:t>った</w:t>
      </w:r>
      <w:r>
        <w:rPr>
          <w:rFonts w:hint="eastAsia"/>
        </w:rPr>
        <w:t>こと</w:t>
      </w:r>
      <w:r w:rsidR="007900FB">
        <w:rPr>
          <w:rFonts w:hint="eastAsia"/>
        </w:rPr>
        <w:t>により</w:t>
      </w:r>
      <w:r>
        <w:rPr>
          <w:rFonts w:hint="eastAsia"/>
        </w:rPr>
        <w:t>、障害をもたらす障壁を除去する法的</w:t>
      </w:r>
      <w:r w:rsidR="007900FB">
        <w:rPr>
          <w:rFonts w:hint="eastAsia"/>
        </w:rPr>
        <w:t>権限</w:t>
      </w:r>
      <w:r w:rsidR="001722DE">
        <w:rPr>
          <w:rFonts w:hint="eastAsia"/>
        </w:rPr>
        <w:t>が</w:t>
      </w:r>
      <w:r w:rsidR="007900FB">
        <w:rPr>
          <w:rFonts w:hint="eastAsia"/>
        </w:rPr>
        <w:t>急激に弱体化</w:t>
      </w:r>
      <w:r w:rsidR="004F710A">
        <w:rPr>
          <w:rFonts w:hint="eastAsia"/>
        </w:rPr>
        <w:t>す</w:t>
      </w:r>
      <w:r w:rsidR="007900FB">
        <w:rPr>
          <w:rFonts w:hint="eastAsia"/>
        </w:rPr>
        <w:t>る。</w:t>
      </w:r>
    </w:p>
    <w:p w14:paraId="53ECF63C" w14:textId="42B20100" w:rsidR="007900FB" w:rsidRDefault="007900FB" w:rsidP="00F635E3">
      <w:pPr>
        <w:pStyle w:val="af0"/>
        <w:numPr>
          <w:ilvl w:val="0"/>
          <w:numId w:val="4"/>
        </w:numPr>
        <w:ind w:leftChars="0"/>
      </w:pPr>
      <w:r>
        <w:rPr>
          <w:rFonts w:hint="eastAsia"/>
        </w:rPr>
        <w:t>市民社会</w:t>
      </w:r>
      <w:r w:rsidR="007B5CBC">
        <w:rPr>
          <w:rFonts w:hint="eastAsia"/>
        </w:rPr>
        <w:t>からの圧力を受け、児童平等省は</w:t>
      </w:r>
      <w:r w:rsidR="007B5CBC">
        <w:rPr>
          <w:rFonts w:hint="eastAsia"/>
        </w:rPr>
        <w:t>2008</w:t>
      </w:r>
      <w:r w:rsidR="007B5CBC">
        <w:rPr>
          <w:rFonts w:hint="eastAsia"/>
        </w:rPr>
        <w:t>年に</w:t>
      </w:r>
      <w:r w:rsidR="00BE7C13">
        <w:rPr>
          <w:rFonts w:hint="eastAsia"/>
        </w:rPr>
        <w:t>、商品、サービス及び情報</w:t>
      </w:r>
      <w:r w:rsidR="00246975">
        <w:rPr>
          <w:rFonts w:hint="eastAsia"/>
        </w:rPr>
        <w:t>へ</w:t>
      </w:r>
      <w:r w:rsidR="00BE7C13">
        <w:rPr>
          <w:rFonts w:hint="eastAsia"/>
        </w:rPr>
        <w:t>の</w:t>
      </w:r>
      <w:r w:rsidR="00246975">
        <w:rPr>
          <w:rFonts w:hint="eastAsia"/>
        </w:rPr>
        <w:t>アクセス</w:t>
      </w:r>
      <w:r w:rsidR="00BE7C13">
        <w:rPr>
          <w:rFonts w:hint="eastAsia"/>
        </w:rPr>
        <w:t>を保障するために、旧反差別・アクセシビリティ法</w:t>
      </w:r>
      <w:r w:rsidR="007411CA">
        <w:rPr>
          <w:rFonts w:hint="eastAsia"/>
        </w:rPr>
        <w:t>（</w:t>
      </w:r>
      <w:r w:rsidR="007411CA" w:rsidRPr="007126AE">
        <w:rPr>
          <w:rFonts w:cs="Arial"/>
          <w:sz w:val="22"/>
          <w:lang w:val="en-GB" w:bidi="en-US"/>
        </w:rPr>
        <w:t>Anti-Discrimination and Accessibility Act</w:t>
      </w:r>
      <w:r w:rsidR="007411CA">
        <w:rPr>
          <w:rFonts w:hint="eastAsia"/>
        </w:rPr>
        <w:t>）</w:t>
      </w:r>
      <w:r w:rsidR="00BE7C13">
        <w:rPr>
          <w:rFonts w:hint="eastAsia"/>
        </w:rPr>
        <w:t>に追加すべきと考えられるさらなる義務について研究する</w:t>
      </w:r>
      <w:r w:rsidR="007B5CBC">
        <w:rPr>
          <w:rFonts w:hint="eastAsia"/>
        </w:rPr>
        <w:t>プロジェクト</w:t>
      </w:r>
      <w:r w:rsidR="00BE7C13">
        <w:rPr>
          <w:rFonts w:hint="eastAsia"/>
        </w:rPr>
        <w:t>を</w:t>
      </w:r>
      <w:r w:rsidR="007C1420">
        <w:rPr>
          <w:rFonts w:hint="eastAsia"/>
        </w:rPr>
        <w:t>開始</w:t>
      </w:r>
      <w:r w:rsidR="00BE7C13">
        <w:rPr>
          <w:rFonts w:hint="eastAsia"/>
        </w:rPr>
        <w:t>した。</w:t>
      </w:r>
      <w:r w:rsidR="00555F75">
        <w:rPr>
          <w:rStyle w:val="a8"/>
        </w:rPr>
        <w:endnoteReference w:id="27"/>
      </w:r>
      <w:r w:rsidR="00676495">
        <w:rPr>
          <w:rFonts w:hint="eastAsia"/>
        </w:rPr>
        <w:t>しかし、民間部門のサービス提供者が負担する費用が不明確であったため、この提案は却下された。政府報告パラグラフ</w:t>
      </w:r>
      <w:r w:rsidR="00676495">
        <w:rPr>
          <w:rFonts w:hint="eastAsia"/>
        </w:rPr>
        <w:t>67</w:t>
      </w:r>
      <w:r w:rsidR="00676495">
        <w:rPr>
          <w:rFonts w:hint="eastAsia"/>
        </w:rPr>
        <w:t>で言及されている方策</w:t>
      </w:r>
      <w:r w:rsidR="00CF4BB6">
        <w:rPr>
          <w:rFonts w:hint="eastAsia"/>
        </w:rPr>
        <w:t>で</w:t>
      </w:r>
      <w:r w:rsidR="00676495">
        <w:rPr>
          <w:rFonts w:hint="eastAsia"/>
        </w:rPr>
        <w:t>は、セルフサービス</w:t>
      </w:r>
      <w:r w:rsidR="00F0251D">
        <w:rPr>
          <w:rFonts w:hint="eastAsia"/>
        </w:rPr>
        <w:t>の</w:t>
      </w:r>
      <w:r w:rsidR="00990AA6">
        <w:rPr>
          <w:rFonts w:hint="eastAsia"/>
        </w:rPr>
        <w:t>選択肢を利用できない者</w:t>
      </w:r>
      <w:r w:rsidR="00CF4BB6">
        <w:rPr>
          <w:rFonts w:hint="eastAsia"/>
        </w:rPr>
        <w:t>に</w:t>
      </w:r>
      <w:r w:rsidR="00253699">
        <w:rPr>
          <w:rFonts w:hint="eastAsia"/>
        </w:rPr>
        <w:t>は</w:t>
      </w:r>
      <w:r w:rsidR="00246975">
        <w:rPr>
          <w:rFonts w:hint="eastAsia"/>
        </w:rPr>
        <w:t>、</w:t>
      </w:r>
      <w:r w:rsidR="00676495">
        <w:rPr>
          <w:rFonts w:hint="eastAsia"/>
        </w:rPr>
        <w:t>商品、サービス及び情報</w:t>
      </w:r>
      <w:r w:rsidR="00246975">
        <w:rPr>
          <w:rFonts w:hint="eastAsia"/>
        </w:rPr>
        <w:t>へ</w:t>
      </w:r>
      <w:r w:rsidR="00676495">
        <w:rPr>
          <w:rFonts w:hint="eastAsia"/>
        </w:rPr>
        <w:t>の</w:t>
      </w:r>
      <w:r w:rsidR="00246975">
        <w:rPr>
          <w:rFonts w:hint="eastAsia"/>
        </w:rPr>
        <w:t>アクセスが</w:t>
      </w:r>
      <w:r w:rsidR="00CF4BB6">
        <w:rPr>
          <w:rFonts w:hint="eastAsia"/>
        </w:rPr>
        <w:t>保障され</w:t>
      </w:r>
      <w:r w:rsidR="00676495">
        <w:rPr>
          <w:rFonts w:hint="eastAsia"/>
        </w:rPr>
        <w:t>ない</w:t>
      </w:r>
      <w:r w:rsidR="00990AA6">
        <w:rPr>
          <w:rFonts w:hint="eastAsia"/>
        </w:rPr>
        <w:t>。また、新しい包括的な平等・反差別法に関する取り組みでも、商品とサービス</w:t>
      </w:r>
      <w:r w:rsidR="00246975">
        <w:rPr>
          <w:rFonts w:hint="eastAsia"/>
        </w:rPr>
        <w:t>へのアクセス</w:t>
      </w:r>
      <w:r w:rsidR="00990AA6">
        <w:rPr>
          <w:rFonts w:hint="eastAsia"/>
        </w:rPr>
        <w:t>は保障されていない。</w:t>
      </w:r>
    </w:p>
    <w:p w14:paraId="4EE20B13" w14:textId="14564F63" w:rsidR="00CF4BB6" w:rsidRDefault="009532B1" w:rsidP="00F635E3">
      <w:pPr>
        <w:pStyle w:val="af0"/>
        <w:numPr>
          <w:ilvl w:val="0"/>
          <w:numId w:val="4"/>
        </w:numPr>
        <w:ind w:leftChars="0"/>
      </w:pPr>
      <w:r>
        <w:rPr>
          <w:rFonts w:hint="eastAsia"/>
        </w:rPr>
        <w:t>ノルウェー</w:t>
      </w:r>
      <w:r w:rsidR="000E20E9">
        <w:rPr>
          <w:rFonts w:hint="eastAsia"/>
        </w:rPr>
        <w:t>には情報、通信又はデジタルサービスに関する一般的な配慮について</w:t>
      </w:r>
      <w:r>
        <w:rPr>
          <w:rFonts w:hint="eastAsia"/>
        </w:rPr>
        <w:t>定</w:t>
      </w:r>
      <w:r w:rsidR="000E20E9">
        <w:rPr>
          <w:rFonts w:hint="eastAsia"/>
        </w:rPr>
        <w:t>め</w:t>
      </w:r>
      <w:r>
        <w:rPr>
          <w:rFonts w:hint="eastAsia"/>
        </w:rPr>
        <w:t>た法律がない。</w:t>
      </w:r>
      <w:r>
        <w:rPr>
          <w:rStyle w:val="a8"/>
        </w:rPr>
        <w:endnoteReference w:id="28"/>
      </w:r>
      <w:r>
        <w:rPr>
          <w:rFonts w:hint="eastAsia"/>
        </w:rPr>
        <w:t>ICT</w:t>
      </w:r>
      <w:r w:rsidR="002E1F3E">
        <w:rPr>
          <w:rFonts w:hint="eastAsia"/>
        </w:rPr>
        <w:t>のユニバーサルデザインに関する規則は、教育部門を除き、一般公衆を対象とした企業に</w:t>
      </w:r>
      <w:r w:rsidR="0015385D">
        <w:rPr>
          <w:rFonts w:hint="eastAsia"/>
        </w:rPr>
        <w:t>のみ適用</w:t>
      </w:r>
      <w:r w:rsidR="002E1F3E">
        <w:rPr>
          <w:rFonts w:hint="eastAsia"/>
        </w:rPr>
        <w:t>される。</w:t>
      </w:r>
      <w:r w:rsidR="002E1F3E">
        <w:rPr>
          <w:rStyle w:val="a8"/>
        </w:rPr>
        <w:endnoteReference w:id="29"/>
      </w:r>
      <w:r w:rsidR="006364B2">
        <w:rPr>
          <w:rFonts w:hint="eastAsia"/>
        </w:rPr>
        <w:t>こ</w:t>
      </w:r>
      <w:r w:rsidR="002E1F3E">
        <w:rPr>
          <w:rFonts w:hint="eastAsia"/>
        </w:rPr>
        <w:t>うした規則は</w:t>
      </w:r>
      <w:r w:rsidR="006364B2">
        <w:rPr>
          <w:rFonts w:hint="eastAsia"/>
        </w:rPr>
        <w:t>、</w:t>
      </w:r>
      <w:r w:rsidR="002E1F3E">
        <w:rPr>
          <w:rFonts w:hint="eastAsia"/>
        </w:rPr>
        <w:t>デジタル教材及びデジタル機器を含むオンラインソリューションに限定され</w:t>
      </w:r>
      <w:r w:rsidR="00253699">
        <w:rPr>
          <w:rFonts w:hint="eastAsia"/>
        </w:rPr>
        <w:t>ており</w:t>
      </w:r>
      <w:r w:rsidR="002E1F3E">
        <w:rPr>
          <w:rFonts w:hint="eastAsia"/>
        </w:rPr>
        <w:t>、音声解説又はメディア</w:t>
      </w:r>
      <w:r w:rsidR="006364B2">
        <w:rPr>
          <w:rFonts w:hint="eastAsia"/>
        </w:rPr>
        <w:t>に対する代替</w:t>
      </w:r>
      <w:r w:rsidR="0015385D">
        <w:rPr>
          <w:rFonts w:hint="eastAsia"/>
        </w:rPr>
        <w:t>コンテンツ（収録済み）</w:t>
      </w:r>
      <w:r w:rsidR="002E1F3E">
        <w:rPr>
          <w:rFonts w:hint="eastAsia"/>
        </w:rPr>
        <w:t>及びダイレクト</w:t>
      </w:r>
      <w:r w:rsidR="004922C7">
        <w:rPr>
          <w:rFonts w:hint="eastAsia"/>
        </w:rPr>
        <w:t>方式の</w:t>
      </w:r>
      <w:r w:rsidR="00095232">
        <w:rPr>
          <w:rFonts w:hint="eastAsia"/>
        </w:rPr>
        <w:t>字幕</w:t>
      </w:r>
      <w:r w:rsidR="000E20E9">
        <w:rPr>
          <w:rFonts w:hint="eastAsia"/>
        </w:rPr>
        <w:t>に関</w:t>
      </w:r>
      <w:r w:rsidR="00253699">
        <w:rPr>
          <w:rFonts w:hint="eastAsia"/>
        </w:rPr>
        <w:t>しては</w:t>
      </w:r>
      <w:r w:rsidR="002E1F3E">
        <w:rPr>
          <w:rFonts w:hint="eastAsia"/>
        </w:rPr>
        <w:t>例外</w:t>
      </w:r>
      <w:r w:rsidR="000E20E9">
        <w:rPr>
          <w:rFonts w:hint="eastAsia"/>
        </w:rPr>
        <w:t>がある</w:t>
      </w:r>
      <w:r w:rsidR="002E1F3E">
        <w:rPr>
          <w:rFonts w:hint="eastAsia"/>
        </w:rPr>
        <w:t>。</w:t>
      </w:r>
    </w:p>
    <w:p w14:paraId="236C2385" w14:textId="2019B321" w:rsidR="005C2204" w:rsidRDefault="005C2204" w:rsidP="005C2204">
      <w:pPr>
        <w:pStyle w:val="af0"/>
        <w:numPr>
          <w:ilvl w:val="1"/>
          <w:numId w:val="3"/>
        </w:numPr>
        <w:ind w:leftChars="0"/>
      </w:pPr>
      <w:r>
        <w:rPr>
          <w:rFonts w:hint="eastAsia"/>
        </w:rPr>
        <w:t>政府は既存の建築物のユニバーサルデザイン化</w:t>
      </w:r>
      <w:r w:rsidR="000E20E9">
        <w:rPr>
          <w:rFonts w:hint="eastAsia"/>
        </w:rPr>
        <w:t>についての</w:t>
      </w:r>
      <w:r>
        <w:rPr>
          <w:rFonts w:hint="eastAsia"/>
        </w:rPr>
        <w:t>期限を定めた規則を、いつ導入するのか？</w:t>
      </w:r>
    </w:p>
    <w:p w14:paraId="5D2BE3E2" w14:textId="41B0657A" w:rsidR="005C2204" w:rsidRDefault="005C2204" w:rsidP="005C2204">
      <w:pPr>
        <w:pStyle w:val="af0"/>
        <w:numPr>
          <w:ilvl w:val="1"/>
          <w:numId w:val="3"/>
        </w:numPr>
        <w:ind w:leftChars="0"/>
      </w:pPr>
      <w:r>
        <w:rPr>
          <w:rFonts w:hint="eastAsia"/>
        </w:rPr>
        <w:t>第</w:t>
      </w:r>
      <w:r>
        <w:rPr>
          <w:rFonts w:hint="eastAsia"/>
        </w:rPr>
        <w:t>9</w:t>
      </w:r>
      <w:r>
        <w:rPr>
          <w:rFonts w:hint="eastAsia"/>
        </w:rPr>
        <w:t>条（</w:t>
      </w:r>
      <w:r>
        <w:rPr>
          <w:rFonts w:hint="eastAsia"/>
        </w:rPr>
        <w:t>2</w:t>
      </w:r>
      <w:r>
        <w:rPr>
          <w:rFonts w:hint="eastAsia"/>
        </w:rPr>
        <w:t>）</w:t>
      </w:r>
      <w:r>
        <w:rPr>
          <w:rFonts w:hint="eastAsia"/>
        </w:rPr>
        <w:t>b</w:t>
      </w:r>
      <w:r>
        <w:rPr>
          <w:rFonts w:hint="eastAsia"/>
        </w:rPr>
        <w:t>は、平等及び反差別法にいつ組み込まれるのか？</w:t>
      </w:r>
    </w:p>
    <w:p w14:paraId="788ABE1E" w14:textId="2125CEAC" w:rsidR="005C2204" w:rsidRDefault="005C2204" w:rsidP="005C2204">
      <w:pPr>
        <w:pStyle w:val="af0"/>
        <w:numPr>
          <w:ilvl w:val="1"/>
          <w:numId w:val="3"/>
        </w:numPr>
        <w:ind w:leftChars="0"/>
      </w:pPr>
      <w:r>
        <w:rPr>
          <w:rFonts w:hint="eastAsia"/>
        </w:rPr>
        <w:t>ICT</w:t>
      </w:r>
      <w:r>
        <w:rPr>
          <w:rFonts w:hint="eastAsia"/>
        </w:rPr>
        <w:t>のユニバーサルデザインに関する規則には含まれない分野</w:t>
      </w:r>
      <w:r w:rsidR="00147EED">
        <w:rPr>
          <w:rFonts w:hint="eastAsia"/>
        </w:rPr>
        <w:t>で</w:t>
      </w:r>
      <w:r>
        <w:rPr>
          <w:rFonts w:hint="eastAsia"/>
        </w:rPr>
        <w:t>保障されている情報通信についての権利を保障するために、どのような方策が講じられるのか？</w:t>
      </w:r>
    </w:p>
    <w:p w14:paraId="7FDD95B5" w14:textId="35E54C79" w:rsidR="005C2204" w:rsidRPr="00B64BF7" w:rsidRDefault="005C2204" w:rsidP="005C2204">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11</w:t>
      </w:r>
      <w:r w:rsidRPr="00B64BF7">
        <w:rPr>
          <w:rFonts w:asciiTheme="majorEastAsia" w:eastAsiaTheme="majorEastAsia" w:hAnsiTheme="majorEastAsia" w:hint="eastAsia"/>
        </w:rPr>
        <w:t>条：危険な状況及び人道上の緊急事態</w:t>
      </w:r>
    </w:p>
    <w:p w14:paraId="51EA6FA9" w14:textId="01028981" w:rsidR="000C62F3" w:rsidRDefault="00803886" w:rsidP="000C62F3">
      <w:pPr>
        <w:ind w:leftChars="202" w:left="849" w:hanging="425"/>
      </w:pPr>
      <w:r>
        <w:rPr>
          <w:rFonts w:hint="eastAsia"/>
        </w:rPr>
        <w:t>・　国及び地域レベルにおける</w:t>
      </w:r>
      <w:r w:rsidR="000C62F3">
        <w:rPr>
          <w:rFonts w:hint="eastAsia"/>
        </w:rPr>
        <w:t>国家安全保障</w:t>
      </w:r>
      <w:r w:rsidR="00436075">
        <w:rPr>
          <w:rFonts w:hint="eastAsia"/>
        </w:rPr>
        <w:t>と</w:t>
      </w:r>
      <w:r w:rsidR="000C62F3">
        <w:rPr>
          <w:rFonts w:hint="eastAsia"/>
        </w:rPr>
        <w:t>緊急事態への備えに関連した障害のある人のニーズに対処するために、どのような方策が講じられてきたのか？　ろう及び難聴の人は、危険な状況及び人道上の緊急事態の際に、どのように警告を受け</w:t>
      </w:r>
      <w:r w:rsidR="00436075">
        <w:rPr>
          <w:rFonts w:hint="eastAsia"/>
        </w:rPr>
        <w:t>てい</w:t>
      </w:r>
      <w:r w:rsidR="000C62F3">
        <w:rPr>
          <w:rFonts w:hint="eastAsia"/>
        </w:rPr>
        <w:t>るのか？</w:t>
      </w:r>
    </w:p>
    <w:p w14:paraId="5E9560C3" w14:textId="001AFDA2" w:rsidR="000C62F3" w:rsidRPr="00B64BF7" w:rsidRDefault="000C62F3" w:rsidP="000C62F3">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12</w:t>
      </w:r>
      <w:r w:rsidRPr="00B64BF7">
        <w:rPr>
          <w:rFonts w:asciiTheme="majorEastAsia" w:eastAsiaTheme="majorEastAsia" w:hAnsiTheme="majorEastAsia" w:hint="eastAsia"/>
        </w:rPr>
        <w:t>条：法律の前にひとしく認められる権利</w:t>
      </w:r>
    </w:p>
    <w:p w14:paraId="30302576" w14:textId="75F433D5" w:rsidR="005C2204" w:rsidRDefault="004C3998" w:rsidP="00F635E3">
      <w:pPr>
        <w:pStyle w:val="af0"/>
        <w:numPr>
          <w:ilvl w:val="0"/>
          <w:numId w:val="4"/>
        </w:numPr>
        <w:ind w:leftChars="0"/>
      </w:pPr>
      <w:r>
        <w:rPr>
          <w:rFonts w:hint="eastAsia"/>
        </w:rPr>
        <w:t>後見法により裁判所は、認知障害あるいは心理社会的障害を理由に、法的能力を全面的又は部分的に剥奪する権限を有する。</w:t>
      </w:r>
      <w:r>
        <w:rPr>
          <w:rStyle w:val="a8"/>
        </w:rPr>
        <w:endnoteReference w:id="30"/>
      </w:r>
      <w:r w:rsidR="00504BC8">
        <w:rPr>
          <w:rFonts w:hint="eastAsia"/>
        </w:rPr>
        <w:t>このような事例においては後見人が任命されるが、後見人は法的能力のある人</w:t>
      </w:r>
      <w:r w:rsidR="00803886">
        <w:rPr>
          <w:rFonts w:hint="eastAsia"/>
        </w:rPr>
        <w:t>に対しても</w:t>
      </w:r>
      <w:r w:rsidR="00504BC8">
        <w:rPr>
          <w:rFonts w:hint="eastAsia"/>
        </w:rPr>
        <w:t>任命される</w:t>
      </w:r>
      <w:r w:rsidR="00803886">
        <w:rPr>
          <w:rFonts w:hint="eastAsia"/>
        </w:rPr>
        <w:t>可能性</w:t>
      </w:r>
      <w:r w:rsidR="00504BC8">
        <w:rPr>
          <w:rFonts w:hint="eastAsia"/>
        </w:rPr>
        <w:t>がある。</w:t>
      </w:r>
    </w:p>
    <w:p w14:paraId="3089B42D" w14:textId="01B83806" w:rsidR="00504BC8" w:rsidRDefault="00504BC8" w:rsidP="00F635E3">
      <w:pPr>
        <w:pStyle w:val="af0"/>
        <w:numPr>
          <w:ilvl w:val="0"/>
          <w:numId w:val="4"/>
        </w:numPr>
        <w:ind w:leftChars="0"/>
      </w:pPr>
      <w:r>
        <w:rPr>
          <w:rFonts w:hint="eastAsia"/>
        </w:rPr>
        <w:t>実際には、認知障害のある人及び心理社会的障害のある人は、</w:t>
      </w:r>
      <w:r w:rsidR="00396534">
        <w:rPr>
          <w:rFonts w:hint="eastAsia"/>
        </w:rPr>
        <w:t>異議申立</w:t>
      </w:r>
      <w:r w:rsidR="0045105D">
        <w:rPr>
          <w:rFonts w:hint="eastAsia"/>
        </w:rPr>
        <w:t>により</w:t>
      </w:r>
      <w:r w:rsidR="00396534">
        <w:rPr>
          <w:rFonts w:hint="eastAsia"/>
        </w:rPr>
        <w:t>覆</w:t>
      </w:r>
      <w:r w:rsidR="00452B7E">
        <w:rPr>
          <w:rFonts w:hint="eastAsia"/>
        </w:rPr>
        <w:t>すことができる</w:t>
      </w:r>
      <w:r w:rsidR="009B04C0">
        <w:rPr>
          <w:rFonts w:hint="eastAsia"/>
        </w:rPr>
        <w:t>公式な</w:t>
      </w:r>
      <w:r w:rsidR="0045105D">
        <w:rPr>
          <w:rFonts w:hint="eastAsia"/>
        </w:rPr>
        <w:t>判定</w:t>
      </w:r>
      <w:r w:rsidR="00032E1C">
        <w:rPr>
          <w:rFonts w:hint="eastAsia"/>
        </w:rPr>
        <w:t>の</w:t>
      </w:r>
      <w:r w:rsidR="00452B7E">
        <w:rPr>
          <w:rFonts w:hint="eastAsia"/>
        </w:rPr>
        <w:t>存在</w:t>
      </w:r>
      <w:r w:rsidR="00032E1C">
        <w:rPr>
          <w:rFonts w:hint="eastAsia"/>
        </w:rPr>
        <w:t>なしに</w:t>
      </w:r>
      <w:r w:rsidR="0045105D">
        <w:rPr>
          <w:rFonts w:hint="eastAsia"/>
        </w:rPr>
        <w:t>、</w:t>
      </w:r>
      <w:r w:rsidR="009B04C0">
        <w:rPr>
          <w:rFonts w:hint="eastAsia"/>
        </w:rPr>
        <w:t>法的能力を失うことが多い</w:t>
      </w:r>
      <w:r>
        <w:rPr>
          <w:rFonts w:hint="eastAsia"/>
        </w:rPr>
        <w:t>。</w:t>
      </w:r>
      <w:r w:rsidR="0008271A">
        <w:rPr>
          <w:rStyle w:val="a8"/>
        </w:rPr>
        <w:endnoteReference w:id="31"/>
      </w:r>
      <w:r w:rsidR="00D30B42">
        <w:rPr>
          <w:rFonts w:hint="eastAsia"/>
        </w:rPr>
        <w:t>県知事は医師の診断書に基づき、ある人が同意能力を有するか</w:t>
      </w:r>
      <w:r w:rsidR="00D81B40">
        <w:rPr>
          <w:rFonts w:hint="eastAsia"/>
        </w:rPr>
        <w:t>否か</w:t>
      </w:r>
      <w:r w:rsidR="00D30B42">
        <w:rPr>
          <w:rFonts w:hint="eastAsia"/>
        </w:rPr>
        <w:t>を</w:t>
      </w:r>
      <w:r w:rsidR="00D81B40">
        <w:rPr>
          <w:rFonts w:hint="eastAsia"/>
        </w:rPr>
        <w:t>判定</w:t>
      </w:r>
      <w:r w:rsidR="00D30B42">
        <w:rPr>
          <w:rFonts w:hint="eastAsia"/>
        </w:rPr>
        <w:t>することができる。これは認知障害のある人及び心理社会的障害のある人が、後見人を任命すべきか否か、</w:t>
      </w:r>
      <w:r w:rsidR="007C1420">
        <w:rPr>
          <w:rFonts w:hint="eastAsia"/>
        </w:rPr>
        <w:t>また、</w:t>
      </w:r>
      <w:r w:rsidR="00D30B42">
        <w:rPr>
          <w:rFonts w:hint="eastAsia"/>
        </w:rPr>
        <w:t>誰を、どのような目的で任命するか</w:t>
      </w:r>
      <w:r w:rsidR="00D81B40">
        <w:rPr>
          <w:rFonts w:hint="eastAsia"/>
        </w:rPr>
        <w:t>を</w:t>
      </w:r>
      <w:r w:rsidR="00D30B42">
        <w:rPr>
          <w:rFonts w:hint="eastAsia"/>
        </w:rPr>
        <w:t>決定</w:t>
      </w:r>
      <w:r w:rsidR="00D81B40">
        <w:rPr>
          <w:rFonts w:hint="eastAsia"/>
        </w:rPr>
        <w:t>する</w:t>
      </w:r>
      <w:r w:rsidR="00D30B42">
        <w:rPr>
          <w:rFonts w:hint="eastAsia"/>
        </w:rPr>
        <w:t>同意能力を</w:t>
      </w:r>
      <w:r w:rsidR="009B04C0">
        <w:rPr>
          <w:rFonts w:hint="eastAsia"/>
        </w:rPr>
        <w:t>、</w:t>
      </w:r>
      <w:r w:rsidR="00D30B42">
        <w:rPr>
          <w:rFonts w:hint="eastAsia"/>
        </w:rPr>
        <w:t>剥奪される可能性があることを意味する。</w:t>
      </w:r>
      <w:r w:rsidR="00D30B42">
        <w:rPr>
          <w:rStyle w:val="a8"/>
        </w:rPr>
        <w:endnoteReference w:id="32"/>
      </w:r>
      <w:r w:rsidR="00D30B42">
        <w:rPr>
          <w:rFonts w:hint="eastAsia"/>
        </w:rPr>
        <w:t>このことは、彼ら自身の人生における多数の他の決定にも当てはまる。ある人が同意能力を有するか否かの</w:t>
      </w:r>
      <w:r w:rsidR="00D81B40">
        <w:rPr>
          <w:rFonts w:hint="eastAsia"/>
        </w:rPr>
        <w:t>判定</w:t>
      </w:r>
      <w:r w:rsidR="00D30B42">
        <w:rPr>
          <w:rFonts w:hint="eastAsia"/>
        </w:rPr>
        <w:t>は、多くの場合、当事者に会うことなく下される。</w:t>
      </w:r>
      <w:r w:rsidR="00D30B42">
        <w:rPr>
          <w:rStyle w:val="a8"/>
        </w:rPr>
        <w:endnoteReference w:id="33"/>
      </w:r>
    </w:p>
    <w:p w14:paraId="3364C35D" w14:textId="17216376" w:rsidR="00D81B40" w:rsidRDefault="00BB60E3" w:rsidP="00F635E3">
      <w:pPr>
        <w:pStyle w:val="af0"/>
        <w:numPr>
          <w:ilvl w:val="0"/>
          <w:numId w:val="4"/>
        </w:numPr>
        <w:ind w:leftChars="0"/>
      </w:pPr>
      <w:r>
        <w:rPr>
          <w:rFonts w:hint="eastAsia"/>
        </w:rPr>
        <w:t>法的能力の剥奪自体が</w:t>
      </w:r>
      <w:r>
        <w:rPr>
          <w:rFonts w:hint="eastAsia"/>
        </w:rPr>
        <w:t>CRPD</w:t>
      </w:r>
      <w:r>
        <w:rPr>
          <w:rFonts w:hint="eastAsia"/>
        </w:rPr>
        <w:t>に矛盾するという事実</w:t>
      </w:r>
      <w:r w:rsidR="007C1420">
        <w:rPr>
          <w:rFonts w:hint="eastAsia"/>
        </w:rPr>
        <w:t>は別として</w:t>
      </w:r>
      <w:r>
        <w:rPr>
          <w:rFonts w:hint="eastAsia"/>
        </w:rPr>
        <w:t>、後見制度には問題のある</w:t>
      </w:r>
      <w:r w:rsidR="00452B7E">
        <w:rPr>
          <w:rFonts w:hint="eastAsia"/>
        </w:rPr>
        <w:t>側面</w:t>
      </w:r>
      <w:r>
        <w:rPr>
          <w:rFonts w:hint="eastAsia"/>
        </w:rPr>
        <w:t>が</w:t>
      </w:r>
      <w:r w:rsidR="001B5D92">
        <w:rPr>
          <w:rFonts w:hint="eastAsia"/>
        </w:rPr>
        <w:t>他にも</w:t>
      </w:r>
      <w:r>
        <w:rPr>
          <w:rFonts w:hint="eastAsia"/>
        </w:rPr>
        <w:t>いくつかある。後見人の任命には、多くの場合</w:t>
      </w:r>
      <w:r w:rsidR="00452B7E">
        <w:rPr>
          <w:rFonts w:hint="eastAsia"/>
        </w:rPr>
        <w:t>、</w:t>
      </w:r>
      <w:r>
        <w:rPr>
          <w:rFonts w:hint="eastAsia"/>
        </w:rPr>
        <w:t>一般的な</w:t>
      </w:r>
      <w:r w:rsidR="001B5D92">
        <w:rPr>
          <w:rFonts w:hint="eastAsia"/>
        </w:rPr>
        <w:t>決まった手順</w:t>
      </w:r>
      <w:r>
        <w:rPr>
          <w:rFonts w:hint="eastAsia"/>
        </w:rPr>
        <w:t>がある。後見人が必要か否かを判定するための評価は、行われないことが多い。</w:t>
      </w:r>
      <w:r>
        <w:rPr>
          <w:rStyle w:val="a8"/>
        </w:rPr>
        <w:endnoteReference w:id="34"/>
      </w:r>
      <w:r w:rsidR="00BD0787">
        <w:rPr>
          <w:rFonts w:hint="eastAsia"/>
        </w:rPr>
        <w:t>永続</w:t>
      </w:r>
      <w:r>
        <w:rPr>
          <w:rFonts w:hint="eastAsia"/>
        </w:rPr>
        <w:t>的な後見人</w:t>
      </w:r>
      <w:r w:rsidR="005713F8">
        <w:rPr>
          <w:rFonts w:hint="eastAsia"/>
        </w:rPr>
        <w:t>は</w:t>
      </w:r>
      <w:r>
        <w:rPr>
          <w:rFonts w:hint="eastAsia"/>
        </w:rPr>
        <w:t>100</w:t>
      </w:r>
      <w:r>
        <w:rPr>
          <w:rFonts w:hint="eastAsia"/>
        </w:rPr>
        <w:t>件もの後見職務を抱える可能性がある</w:t>
      </w:r>
      <w:r w:rsidR="005713F8">
        <w:rPr>
          <w:rFonts w:hint="eastAsia"/>
        </w:rPr>
        <w:t>が、多くの場合、当事者と会うことはない。</w:t>
      </w:r>
      <w:r w:rsidR="005713F8">
        <w:rPr>
          <w:rStyle w:val="a8"/>
        </w:rPr>
        <w:endnoteReference w:id="35"/>
      </w:r>
      <w:r w:rsidR="005713F8">
        <w:rPr>
          <w:rFonts w:hint="eastAsia"/>
        </w:rPr>
        <w:t>この慣行のために、当事者は本人の意思と選好に基づ</w:t>
      </w:r>
      <w:r w:rsidR="007C1420">
        <w:rPr>
          <w:rFonts w:hint="eastAsia"/>
        </w:rPr>
        <w:t>き</w:t>
      </w:r>
      <w:r w:rsidR="005713F8">
        <w:rPr>
          <w:rFonts w:hint="eastAsia"/>
        </w:rPr>
        <w:t>支援を得るという条約の要件を満たすことが難しくなる。</w:t>
      </w:r>
      <w:r w:rsidR="00541DD3">
        <w:rPr>
          <w:rFonts w:hint="eastAsia"/>
        </w:rPr>
        <w:t>さまざまな団体から、</w:t>
      </w:r>
      <w:r w:rsidR="00BD0787">
        <w:rPr>
          <w:rFonts w:hint="eastAsia"/>
        </w:rPr>
        <w:t>永続</w:t>
      </w:r>
      <w:r w:rsidR="00541DD3">
        <w:rPr>
          <w:rFonts w:hint="eastAsia"/>
        </w:rPr>
        <w:t>的な後見人が職務違反をして、当事者と近親者の</w:t>
      </w:r>
      <w:r w:rsidR="00EA0C53">
        <w:rPr>
          <w:rFonts w:hint="eastAsia"/>
        </w:rPr>
        <w:t>面会交流の取り決めをしたり、郵便物を転送したり、電話回数を制限したりしているという、</w:t>
      </w:r>
      <w:r w:rsidR="005713F8">
        <w:rPr>
          <w:rFonts w:hint="eastAsia"/>
        </w:rPr>
        <w:t>具体的</w:t>
      </w:r>
      <w:r w:rsidR="00541DD3">
        <w:rPr>
          <w:rFonts w:hint="eastAsia"/>
        </w:rPr>
        <w:t>かつ実証可能な事例が示されている。</w:t>
      </w:r>
      <w:r w:rsidR="00EA0C53">
        <w:rPr>
          <w:rStyle w:val="a8"/>
        </w:rPr>
        <w:endnoteReference w:id="36"/>
      </w:r>
      <w:r w:rsidR="00EA0C53">
        <w:rPr>
          <w:rFonts w:hint="eastAsia"/>
        </w:rPr>
        <w:t>これらの事例からは、後見人がその権限を越え、個人の生活分野を規制しており、基本的人権を侵害していることがわかる。</w:t>
      </w:r>
    </w:p>
    <w:p w14:paraId="2907A47E" w14:textId="605B9B3E" w:rsidR="00A10645" w:rsidRDefault="00621416" w:rsidP="00F635E3">
      <w:pPr>
        <w:pStyle w:val="af0"/>
        <w:numPr>
          <w:ilvl w:val="0"/>
          <w:numId w:val="4"/>
        </w:numPr>
        <w:ind w:leftChars="0"/>
      </w:pPr>
      <w:r>
        <w:rPr>
          <w:rFonts w:hint="eastAsia"/>
        </w:rPr>
        <w:t>後見人制度の改正によって、法的能力の行使に支援を必要としている人の法的保護と状況が改善されることはなかった。後見人</w:t>
      </w:r>
      <w:r w:rsidR="00104A92">
        <w:rPr>
          <w:rFonts w:hint="eastAsia"/>
        </w:rPr>
        <w:t>に対するフォローアップは極めて多種多様で、</w:t>
      </w:r>
      <w:r>
        <w:rPr>
          <w:rFonts w:hint="eastAsia"/>
        </w:rPr>
        <w:t>チェック</w:t>
      </w:r>
      <w:r w:rsidR="00104A92">
        <w:rPr>
          <w:rFonts w:hint="eastAsia"/>
        </w:rPr>
        <w:t>はほとんど</w:t>
      </w:r>
      <w:r w:rsidR="00AE7533">
        <w:rPr>
          <w:rFonts w:hint="eastAsia"/>
        </w:rPr>
        <w:t>な</w:t>
      </w:r>
      <w:r w:rsidR="00D0408B">
        <w:rPr>
          <w:rFonts w:hint="eastAsia"/>
        </w:rPr>
        <w:t>されてい</w:t>
      </w:r>
      <w:r w:rsidR="00104A92">
        <w:rPr>
          <w:rFonts w:hint="eastAsia"/>
        </w:rPr>
        <w:t>ない。</w:t>
      </w:r>
      <w:r w:rsidR="00104A92">
        <w:rPr>
          <w:rStyle w:val="a8"/>
        </w:rPr>
        <w:endnoteReference w:id="37"/>
      </w:r>
    </w:p>
    <w:p w14:paraId="5DFEE019" w14:textId="52BDFD52" w:rsidR="00C46555" w:rsidRDefault="00C46555" w:rsidP="00C46555">
      <w:pPr>
        <w:pStyle w:val="af0"/>
        <w:numPr>
          <w:ilvl w:val="1"/>
          <w:numId w:val="3"/>
        </w:numPr>
        <w:ind w:leftChars="0"/>
      </w:pPr>
      <w:r>
        <w:rPr>
          <w:rFonts w:hint="eastAsia"/>
        </w:rPr>
        <w:t>ノルウェーは</w:t>
      </w:r>
      <w:r w:rsidR="001B5D92">
        <w:rPr>
          <w:rFonts w:hint="eastAsia"/>
        </w:rPr>
        <w:t>、</w:t>
      </w:r>
      <w:r>
        <w:rPr>
          <w:rFonts w:hint="eastAsia"/>
        </w:rPr>
        <w:t>第</w:t>
      </w:r>
      <w:r>
        <w:rPr>
          <w:rFonts w:hint="eastAsia"/>
        </w:rPr>
        <w:t>12</w:t>
      </w:r>
      <w:r>
        <w:rPr>
          <w:rFonts w:hint="eastAsia"/>
        </w:rPr>
        <w:t>条に関する宣言をいつ撤回するのか？</w:t>
      </w:r>
    </w:p>
    <w:p w14:paraId="27F9DD86" w14:textId="490282CA" w:rsidR="00C46555" w:rsidRDefault="00E025D5" w:rsidP="00E025D5">
      <w:pPr>
        <w:pStyle w:val="af0"/>
        <w:numPr>
          <w:ilvl w:val="1"/>
          <w:numId w:val="3"/>
        </w:numPr>
        <w:ind w:leftChars="0"/>
      </w:pPr>
      <w:r>
        <w:rPr>
          <w:rFonts w:hint="eastAsia"/>
        </w:rPr>
        <w:t>代替的意思決定から、法的能力の行使に必要な支援を得て</w:t>
      </w:r>
      <w:r w:rsidR="00C76742">
        <w:rPr>
          <w:rFonts w:hint="eastAsia"/>
        </w:rPr>
        <w:t>、</w:t>
      </w:r>
      <w:r>
        <w:rPr>
          <w:rFonts w:hint="eastAsia"/>
        </w:rPr>
        <w:t>事情を知らされた上での選択（支援付き意思決定）が</w:t>
      </w:r>
      <w:r w:rsidR="00C76742">
        <w:rPr>
          <w:rFonts w:hint="eastAsia"/>
        </w:rPr>
        <w:t>できる</w:t>
      </w:r>
      <w:r>
        <w:rPr>
          <w:rFonts w:hint="eastAsia"/>
        </w:rPr>
        <w:t>よう</w:t>
      </w:r>
      <w:r w:rsidR="001B5D92">
        <w:rPr>
          <w:rFonts w:hint="eastAsia"/>
        </w:rPr>
        <w:t>に、</w:t>
      </w:r>
      <w:r>
        <w:rPr>
          <w:rFonts w:hint="eastAsia"/>
        </w:rPr>
        <w:t>法令</w:t>
      </w:r>
      <w:r w:rsidR="00C76742">
        <w:rPr>
          <w:rFonts w:hint="eastAsia"/>
        </w:rPr>
        <w:t>及び</w:t>
      </w:r>
      <w:r>
        <w:rPr>
          <w:rFonts w:hint="eastAsia"/>
        </w:rPr>
        <w:t>慣行</w:t>
      </w:r>
      <w:r w:rsidR="00C76742">
        <w:rPr>
          <w:rFonts w:hint="eastAsia"/>
        </w:rPr>
        <w:t>を移行していくことを監督</w:t>
      </w:r>
      <w:r w:rsidR="007A4EAC">
        <w:rPr>
          <w:rFonts w:hint="eastAsia"/>
        </w:rPr>
        <w:t>するために、どのような方策が講じられ</w:t>
      </w:r>
      <w:r>
        <w:rPr>
          <w:rFonts w:hint="eastAsia"/>
        </w:rPr>
        <w:t>る</w:t>
      </w:r>
      <w:r w:rsidR="007A4EAC">
        <w:rPr>
          <w:rFonts w:hint="eastAsia"/>
        </w:rPr>
        <w:t>の</w:t>
      </w:r>
      <w:r>
        <w:rPr>
          <w:rFonts w:hint="eastAsia"/>
        </w:rPr>
        <w:t>か？</w:t>
      </w:r>
      <w:r w:rsidR="007A4EAC">
        <w:rPr>
          <w:rFonts w:hint="eastAsia"/>
        </w:rPr>
        <w:t xml:space="preserve">　個人の意思及び選好の実現を、政府はどのように確保するのか？　</w:t>
      </w:r>
      <w:r w:rsidR="00C5063C">
        <w:rPr>
          <w:rFonts w:hint="eastAsia"/>
        </w:rPr>
        <w:t>同意能力がないと考えられている人が、その判定</w:t>
      </w:r>
      <w:r w:rsidR="00223928">
        <w:rPr>
          <w:rFonts w:hint="eastAsia"/>
        </w:rPr>
        <w:t>に</w:t>
      </w:r>
      <w:r w:rsidR="00C5063C">
        <w:rPr>
          <w:rFonts w:hint="eastAsia"/>
        </w:rPr>
        <w:t>不服</w:t>
      </w:r>
      <w:r w:rsidR="00223928">
        <w:rPr>
          <w:rFonts w:hint="eastAsia"/>
        </w:rPr>
        <w:t>を申し立てられる</w:t>
      </w:r>
      <w:r w:rsidR="00C5063C">
        <w:rPr>
          <w:rFonts w:hint="eastAsia"/>
        </w:rPr>
        <w:t>ことを確保するために、どのような方策が講じられるのか？</w:t>
      </w:r>
      <w:r w:rsidR="00223928">
        <w:rPr>
          <w:rFonts w:hint="eastAsia"/>
        </w:rPr>
        <w:t xml:space="preserve">　人権及び支援付き意思決定に基づく研修を、政府はどのように行うのか？</w:t>
      </w:r>
    </w:p>
    <w:p w14:paraId="5D7C6713" w14:textId="75EDF448" w:rsidR="00C76742" w:rsidRPr="00B64BF7" w:rsidRDefault="00C76742" w:rsidP="00C76742">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13</w:t>
      </w:r>
      <w:r w:rsidRPr="00B64BF7">
        <w:rPr>
          <w:rFonts w:asciiTheme="majorEastAsia" w:eastAsiaTheme="majorEastAsia" w:hAnsiTheme="majorEastAsia" w:hint="eastAsia"/>
        </w:rPr>
        <w:t>条：司法手続の利用の機会</w:t>
      </w:r>
    </w:p>
    <w:p w14:paraId="1A24FC20" w14:textId="374E8370" w:rsidR="00C46555" w:rsidRDefault="00BB0F1B" w:rsidP="00141444">
      <w:pPr>
        <w:pStyle w:val="af0"/>
        <w:numPr>
          <w:ilvl w:val="0"/>
          <w:numId w:val="4"/>
        </w:numPr>
        <w:ind w:leftChars="0"/>
      </w:pPr>
      <w:r>
        <w:rPr>
          <w:rFonts w:hint="eastAsia"/>
        </w:rPr>
        <w:t>県知事、調停委員会又は裁判所に訴えを起こしたいと考えている</w:t>
      </w:r>
      <w:r w:rsidR="001D4CA1">
        <w:rPr>
          <w:rFonts w:hint="eastAsia"/>
        </w:rPr>
        <w:t>障害のある人の多くは、</w:t>
      </w:r>
      <w:r w:rsidR="000C2A46">
        <w:rPr>
          <w:rFonts w:hint="eastAsia"/>
        </w:rPr>
        <w:t>金銭的に余裕がなく、</w:t>
      </w:r>
      <w:r w:rsidR="00141444">
        <w:rPr>
          <w:rFonts w:hint="eastAsia"/>
        </w:rPr>
        <w:t>弁護士を雇えない。法律扶助法</w:t>
      </w:r>
      <w:r w:rsidR="00141444">
        <w:rPr>
          <w:rStyle w:val="a8"/>
        </w:rPr>
        <w:endnoteReference w:id="38"/>
      </w:r>
      <w:r w:rsidR="00141444">
        <w:rPr>
          <w:rFonts w:hint="eastAsia"/>
        </w:rPr>
        <w:t>では、</w:t>
      </w:r>
      <w:r w:rsidR="008B139C">
        <w:rPr>
          <w:rFonts w:hint="eastAsia"/>
        </w:rPr>
        <w:t>教育、</w:t>
      </w:r>
      <w:r w:rsidR="00AD1CF5">
        <w:rPr>
          <w:rFonts w:hint="eastAsia"/>
        </w:rPr>
        <w:t>保健・ケア</w:t>
      </w:r>
      <w:r w:rsidR="008B139C">
        <w:rPr>
          <w:rFonts w:hint="eastAsia"/>
        </w:rPr>
        <w:t>サービス及び差別など、障害のある人にとって重要な分野が</w:t>
      </w:r>
      <w:r w:rsidR="00141444">
        <w:rPr>
          <w:rFonts w:hint="eastAsia"/>
        </w:rPr>
        <w:t>対象とされていない。国連</w:t>
      </w:r>
      <w:r w:rsidR="00141444" w:rsidRPr="00141444">
        <w:rPr>
          <w:rFonts w:hint="eastAsia"/>
        </w:rPr>
        <w:t>自由権規約人権委員会</w:t>
      </w:r>
      <w:r w:rsidR="00141444">
        <w:rPr>
          <w:rFonts w:hint="eastAsia"/>
        </w:rPr>
        <w:t>は、こうした法律扶助制度について、あまりに限定的であると非難してきた。</w:t>
      </w:r>
      <w:r w:rsidR="00141444">
        <w:rPr>
          <w:rStyle w:val="a8"/>
        </w:rPr>
        <w:endnoteReference w:id="39"/>
      </w:r>
    </w:p>
    <w:p w14:paraId="0F7DD189" w14:textId="55AE9E00" w:rsidR="000C2A46" w:rsidRDefault="00A81F82" w:rsidP="00141444">
      <w:pPr>
        <w:pStyle w:val="af0"/>
        <w:numPr>
          <w:ilvl w:val="0"/>
          <w:numId w:val="4"/>
        </w:numPr>
        <w:ind w:leftChars="0"/>
      </w:pPr>
      <w:r>
        <w:rPr>
          <w:rFonts w:hint="eastAsia"/>
        </w:rPr>
        <w:t>感覚機能障害のある人は、裁判員としての役割を果たす権利を否定されている。</w:t>
      </w:r>
      <w:r>
        <w:rPr>
          <w:rStyle w:val="a8"/>
        </w:rPr>
        <w:endnoteReference w:id="40"/>
      </w:r>
    </w:p>
    <w:p w14:paraId="00DFFAEA" w14:textId="53DD740D" w:rsidR="00A81F82" w:rsidRDefault="00A81F82" w:rsidP="00141444">
      <w:pPr>
        <w:pStyle w:val="af0"/>
        <w:numPr>
          <w:ilvl w:val="0"/>
          <w:numId w:val="4"/>
        </w:numPr>
        <w:ind w:leftChars="0"/>
      </w:pPr>
      <w:r>
        <w:rPr>
          <w:rFonts w:hint="eastAsia"/>
        </w:rPr>
        <w:t>機能障害のある人に尋問する際、特定の非差別的な尋問方法が必要とされるが、これが常に考慮されるわけではない。</w:t>
      </w:r>
      <w:r>
        <w:rPr>
          <w:rStyle w:val="a8"/>
        </w:rPr>
        <w:endnoteReference w:id="41"/>
      </w:r>
      <w:r>
        <w:rPr>
          <w:rFonts w:hint="eastAsia"/>
        </w:rPr>
        <w:t>法規定</w:t>
      </w:r>
      <w:r w:rsidR="00F606D4">
        <w:rPr>
          <w:rStyle w:val="a8"/>
        </w:rPr>
        <w:endnoteReference w:id="42"/>
      </w:r>
      <w:r w:rsidR="001B5D92">
        <w:rPr>
          <w:rFonts w:hint="eastAsia"/>
        </w:rPr>
        <w:t>にもかか</w:t>
      </w:r>
      <w:r>
        <w:rPr>
          <w:rFonts w:hint="eastAsia"/>
        </w:rPr>
        <w:t>わらず、法廷は</w:t>
      </w:r>
      <w:r w:rsidR="00B93E25">
        <w:rPr>
          <w:rFonts w:hint="eastAsia"/>
        </w:rPr>
        <w:t>、</w:t>
      </w:r>
      <w:r w:rsidR="00F92312">
        <w:rPr>
          <w:rFonts w:hint="eastAsia"/>
        </w:rPr>
        <w:t>意思疎通のための設備が不十分で、</w:t>
      </w:r>
      <w:r>
        <w:rPr>
          <w:rFonts w:hint="eastAsia"/>
        </w:rPr>
        <w:t>物理的に</w:t>
      </w:r>
      <w:r w:rsidR="0074204F">
        <w:rPr>
          <w:rFonts w:hint="eastAsia"/>
        </w:rPr>
        <w:t>アクセシブル</w:t>
      </w:r>
      <w:r w:rsidR="00F92312">
        <w:rPr>
          <w:rFonts w:hint="eastAsia"/>
        </w:rPr>
        <w:t>ではない。難聴の人は、彼らが必要としている配慮</w:t>
      </w:r>
      <w:r w:rsidR="00F606D4">
        <w:rPr>
          <w:rFonts w:hint="eastAsia"/>
        </w:rPr>
        <w:t>が</w:t>
      </w:r>
      <w:r w:rsidR="00F92312">
        <w:rPr>
          <w:rFonts w:hint="eastAsia"/>
        </w:rPr>
        <w:t>法廷</w:t>
      </w:r>
      <w:r w:rsidR="00F606D4">
        <w:rPr>
          <w:rFonts w:hint="eastAsia"/>
        </w:rPr>
        <w:t>で却下されることを、経験から理解している。</w:t>
      </w:r>
      <w:r w:rsidR="00F606D4">
        <w:rPr>
          <w:rStyle w:val="a8"/>
        </w:rPr>
        <w:endnoteReference w:id="43"/>
      </w:r>
    </w:p>
    <w:p w14:paraId="25BD6C3F" w14:textId="4C6E3F7D" w:rsidR="00F606D4" w:rsidRDefault="007F008B" w:rsidP="00F606D4">
      <w:pPr>
        <w:pStyle w:val="af0"/>
        <w:numPr>
          <w:ilvl w:val="1"/>
          <w:numId w:val="3"/>
        </w:numPr>
        <w:ind w:leftChars="0"/>
      </w:pPr>
      <w:r>
        <w:rPr>
          <w:rFonts w:hint="eastAsia"/>
        </w:rPr>
        <w:t>総括所見</w:t>
      </w:r>
      <w:r>
        <w:rPr>
          <w:rFonts w:hint="eastAsia"/>
        </w:rPr>
        <w:t>CCPR/C/NOR/CO/6</w:t>
      </w:r>
      <w:r>
        <w:rPr>
          <w:rFonts w:hint="eastAsia"/>
        </w:rPr>
        <w:t>で示され</w:t>
      </w:r>
      <w:r w:rsidR="00943C8C">
        <w:rPr>
          <w:rFonts w:hint="eastAsia"/>
        </w:rPr>
        <w:t>た</w:t>
      </w:r>
      <w:r>
        <w:rPr>
          <w:rFonts w:hint="eastAsia"/>
        </w:rPr>
        <w:t>法律扶助に関する勧告</w:t>
      </w:r>
      <w:r w:rsidR="0074204F">
        <w:rPr>
          <w:rFonts w:hint="eastAsia"/>
        </w:rPr>
        <w:t>に従う</w:t>
      </w:r>
      <w:r>
        <w:rPr>
          <w:rFonts w:hint="eastAsia"/>
        </w:rPr>
        <w:t>ために、政府はどのような措置を講じて</w:t>
      </w:r>
      <w:r w:rsidR="00943C8C">
        <w:rPr>
          <w:rFonts w:hint="eastAsia"/>
        </w:rPr>
        <w:t>きたの</w:t>
      </w:r>
      <w:r>
        <w:rPr>
          <w:rFonts w:hint="eastAsia"/>
        </w:rPr>
        <w:t>か？　また、教育、</w:t>
      </w:r>
      <w:r w:rsidR="00AD1CF5">
        <w:rPr>
          <w:rFonts w:hint="eastAsia"/>
        </w:rPr>
        <w:t>保健・ケア</w:t>
      </w:r>
      <w:r>
        <w:rPr>
          <w:rFonts w:hint="eastAsia"/>
        </w:rPr>
        <w:t>サービス及び差別が</w:t>
      </w:r>
      <w:r w:rsidR="00943C8C">
        <w:rPr>
          <w:rFonts w:hint="eastAsia"/>
        </w:rPr>
        <w:t>、</w:t>
      </w:r>
      <w:r>
        <w:rPr>
          <w:rFonts w:hint="eastAsia"/>
        </w:rPr>
        <w:t>法律扶助法において優先分野とされることを確保するために、どのような措置が</w:t>
      </w:r>
      <w:r w:rsidR="0074204F">
        <w:rPr>
          <w:rFonts w:hint="eastAsia"/>
        </w:rPr>
        <w:t>講じられ</w:t>
      </w:r>
      <w:r>
        <w:rPr>
          <w:rFonts w:hint="eastAsia"/>
        </w:rPr>
        <w:t>るのか？　裁判員としての役割を果たすことを含む手続のあらゆる段階において、障害のある人がその年齢及び障害に</w:t>
      </w:r>
      <w:r w:rsidR="0074204F">
        <w:rPr>
          <w:rFonts w:hint="eastAsia"/>
        </w:rPr>
        <w:t>適</w:t>
      </w:r>
      <w:r>
        <w:rPr>
          <w:rFonts w:hint="eastAsia"/>
        </w:rPr>
        <w:t>した方法により</w:t>
      </w:r>
      <w:r w:rsidR="0074204F">
        <w:rPr>
          <w:rFonts w:hint="eastAsia"/>
        </w:rPr>
        <w:t>、</w:t>
      </w:r>
      <w:r>
        <w:rPr>
          <w:rFonts w:hint="eastAsia"/>
        </w:rPr>
        <w:t>法制度</w:t>
      </w:r>
      <w:r w:rsidR="0074204F">
        <w:rPr>
          <w:rFonts w:hint="eastAsia"/>
        </w:rPr>
        <w:t>にアクセス</w:t>
      </w:r>
      <w:r w:rsidR="00943C8C">
        <w:rPr>
          <w:rFonts w:hint="eastAsia"/>
        </w:rPr>
        <w:t>できるようにするために、どのような措置が講じられるのか？</w:t>
      </w:r>
    </w:p>
    <w:p w14:paraId="6DC459F8" w14:textId="6C4C1C51" w:rsidR="00943C8C" w:rsidRPr="00B64BF7" w:rsidRDefault="00943C8C" w:rsidP="00943C8C">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14</w:t>
      </w:r>
      <w:r w:rsidRPr="00B64BF7">
        <w:rPr>
          <w:rFonts w:asciiTheme="majorEastAsia" w:eastAsiaTheme="majorEastAsia" w:hAnsiTheme="majorEastAsia" w:hint="eastAsia"/>
        </w:rPr>
        <w:t>条：身体の自由及び安全</w:t>
      </w:r>
    </w:p>
    <w:p w14:paraId="7E3DD911" w14:textId="34587257" w:rsidR="00F606D4" w:rsidRDefault="00D30EA8" w:rsidP="00141444">
      <w:pPr>
        <w:pStyle w:val="af0"/>
        <w:numPr>
          <w:ilvl w:val="0"/>
          <w:numId w:val="4"/>
        </w:numPr>
        <w:ind w:leftChars="0"/>
      </w:pPr>
      <w:r>
        <w:rPr>
          <w:rFonts w:hint="eastAsia"/>
        </w:rPr>
        <w:t>精神保健</w:t>
      </w:r>
      <w:r w:rsidR="003379A6">
        <w:rPr>
          <w:rFonts w:hint="eastAsia"/>
        </w:rPr>
        <w:t>ケア法は、「重度精神障害」と診断された人に適用される。</w:t>
      </w:r>
      <w:r w:rsidR="003379A6">
        <w:rPr>
          <w:rStyle w:val="a8"/>
        </w:rPr>
        <w:endnoteReference w:id="44"/>
      </w:r>
      <w:r w:rsidR="003379A6">
        <w:rPr>
          <w:rFonts w:hint="eastAsia"/>
        </w:rPr>
        <w:t>同法は、心理社会的障害（「重度精神病」）に基づく拘束と、治療のニーズや自傷行為若しくは他傷行為に関する</w:t>
      </w:r>
      <w:r w:rsidR="002C075A">
        <w:rPr>
          <w:rFonts w:hint="eastAsia"/>
        </w:rPr>
        <w:t>付加基準</w:t>
      </w:r>
      <w:r w:rsidR="003379A6">
        <w:rPr>
          <w:rFonts w:hint="eastAsia"/>
        </w:rPr>
        <w:t>を規制する</w:t>
      </w:r>
      <w:r w:rsidR="00223B39">
        <w:rPr>
          <w:rFonts w:hint="eastAsia"/>
        </w:rPr>
        <w:t>。同法では、施設における強制的な投薬及び身体拘束を含む広範囲にわたる</w:t>
      </w:r>
      <w:r w:rsidR="002C075A">
        <w:rPr>
          <w:rFonts w:hint="eastAsia"/>
        </w:rPr>
        <w:t>強制と、</w:t>
      </w:r>
      <w:r w:rsidR="002C075A">
        <w:rPr>
          <w:rFonts w:hint="eastAsia"/>
        </w:rPr>
        <w:t>24</w:t>
      </w:r>
      <w:r w:rsidR="002C075A">
        <w:rPr>
          <w:rFonts w:hint="eastAsia"/>
        </w:rPr>
        <w:t>時間</w:t>
      </w:r>
      <w:r w:rsidR="00223B39">
        <w:rPr>
          <w:rFonts w:hint="eastAsia"/>
        </w:rPr>
        <w:t>施設に滞在する必要</w:t>
      </w:r>
      <w:r w:rsidR="00577A52">
        <w:rPr>
          <w:rFonts w:hint="eastAsia"/>
        </w:rPr>
        <w:t>はないが強制される医療</w:t>
      </w:r>
      <w:r w:rsidR="002C075A">
        <w:rPr>
          <w:rFonts w:hint="eastAsia"/>
        </w:rPr>
        <w:t>を</w:t>
      </w:r>
      <w:r w:rsidR="00FA69A3">
        <w:rPr>
          <w:rFonts w:hint="eastAsia"/>
        </w:rPr>
        <w:t>認めている。</w:t>
      </w:r>
      <w:r w:rsidR="00FA69A3">
        <w:rPr>
          <w:rStyle w:val="a8"/>
        </w:rPr>
        <w:endnoteReference w:id="45"/>
      </w:r>
      <w:r w:rsidR="00FA69A3">
        <w:rPr>
          <w:rFonts w:hint="eastAsia"/>
        </w:rPr>
        <w:t>同法で定められている強制措置は、</w:t>
      </w:r>
      <w:r w:rsidR="002D30FE">
        <w:rPr>
          <w:rFonts w:hint="eastAsia"/>
        </w:rPr>
        <w:t>任意の</w:t>
      </w:r>
      <w:r w:rsidR="001B623A">
        <w:rPr>
          <w:rFonts w:hint="eastAsia"/>
        </w:rPr>
        <w:t>拡大</w:t>
      </w:r>
      <w:r w:rsidR="002D30FE">
        <w:rPr>
          <w:rFonts w:hint="eastAsia"/>
        </w:rPr>
        <w:t>解釈に基づいており、これには恣意的な、望ましくない慣行が含まれる。ノルウェーには</w:t>
      </w:r>
      <w:r w:rsidR="00387371">
        <w:rPr>
          <w:rFonts w:hint="eastAsia"/>
        </w:rPr>
        <w:t>強制</w:t>
      </w:r>
      <w:r w:rsidR="002D30FE">
        <w:rPr>
          <w:rFonts w:hint="eastAsia"/>
        </w:rPr>
        <w:t>入院、強制治療又は強制措置に関する十分な資料がない。</w:t>
      </w:r>
      <w:r w:rsidR="002D30FE">
        <w:rPr>
          <w:rStyle w:val="a8"/>
        </w:rPr>
        <w:endnoteReference w:id="46"/>
      </w:r>
    </w:p>
    <w:p w14:paraId="6A93894A" w14:textId="697E199B" w:rsidR="002D30FE" w:rsidRDefault="00225C32" w:rsidP="00141444">
      <w:pPr>
        <w:pStyle w:val="af0"/>
        <w:numPr>
          <w:ilvl w:val="0"/>
          <w:numId w:val="4"/>
        </w:numPr>
        <w:ind w:leftChars="0"/>
      </w:pPr>
      <w:r>
        <w:rPr>
          <w:rFonts w:hint="eastAsia"/>
        </w:rPr>
        <w:t>さまざまな地域において、各種施設及び病院での強制の</w:t>
      </w:r>
      <w:r w:rsidR="00586EAA">
        <w:rPr>
          <w:rFonts w:hint="eastAsia"/>
        </w:rPr>
        <w:t>使用</w:t>
      </w:r>
      <w:r>
        <w:rPr>
          <w:rFonts w:hint="eastAsia"/>
        </w:rPr>
        <w:t>に非常に大きな違いが</w:t>
      </w:r>
      <w:r w:rsidR="0032682E">
        <w:rPr>
          <w:rFonts w:hint="eastAsia"/>
        </w:rPr>
        <w:t>常に</w:t>
      </w:r>
      <w:r>
        <w:rPr>
          <w:rFonts w:hint="eastAsia"/>
        </w:rPr>
        <w:t>あることが記録されている。</w:t>
      </w:r>
      <w:r w:rsidR="0032682E">
        <w:rPr>
          <w:rStyle w:val="a8"/>
        </w:rPr>
        <w:endnoteReference w:id="47"/>
      </w:r>
      <w:r w:rsidR="0032682E">
        <w:rPr>
          <w:rFonts w:hint="eastAsia"/>
        </w:rPr>
        <w:t>時間が経過しても</w:t>
      </w:r>
      <w:r w:rsidR="00C53FC9">
        <w:rPr>
          <w:rFonts w:hint="eastAsia"/>
        </w:rPr>
        <w:t>その数字は変わらず、大幅な減</w:t>
      </w:r>
      <w:r w:rsidR="001D121B">
        <w:rPr>
          <w:rFonts w:hint="eastAsia"/>
        </w:rPr>
        <w:t>少</w:t>
      </w:r>
      <w:r w:rsidR="00C53FC9">
        <w:rPr>
          <w:rFonts w:hint="eastAsia"/>
        </w:rPr>
        <w:t>は</w:t>
      </w:r>
      <w:r w:rsidR="0032682E">
        <w:rPr>
          <w:rFonts w:hint="eastAsia"/>
        </w:rPr>
        <w:t>見られない。</w:t>
      </w:r>
      <w:r w:rsidR="0032682E">
        <w:rPr>
          <w:rStyle w:val="a8"/>
        </w:rPr>
        <w:endnoteReference w:id="48"/>
      </w:r>
      <w:r w:rsidR="00520FAA">
        <w:rPr>
          <w:rFonts w:hint="eastAsia"/>
        </w:rPr>
        <w:t>薬を使</w:t>
      </w:r>
      <w:r w:rsidR="001D121B">
        <w:rPr>
          <w:rFonts w:hint="eastAsia"/>
        </w:rPr>
        <w:t>用し</w:t>
      </w:r>
      <w:r w:rsidR="00520FAA">
        <w:rPr>
          <w:rFonts w:hint="eastAsia"/>
        </w:rPr>
        <w:t>ない治療を提供す</w:t>
      </w:r>
      <w:r w:rsidR="00C53FC9">
        <w:rPr>
          <w:rFonts w:hint="eastAsia"/>
        </w:rPr>
        <w:t>るサービスを含む、ボランティア及び利用者主導のサービスの発展は</w:t>
      </w:r>
      <w:r w:rsidR="00520FAA">
        <w:rPr>
          <w:rFonts w:hint="eastAsia"/>
        </w:rPr>
        <w:t>あまりに遅く、少数の人にしか適用されていない。</w:t>
      </w:r>
      <w:r w:rsidR="00FA2E57">
        <w:rPr>
          <w:rStyle w:val="a8"/>
        </w:rPr>
        <w:endnoteReference w:id="49"/>
      </w:r>
      <w:r w:rsidR="00D30EA8">
        <w:rPr>
          <w:rFonts w:hint="eastAsia"/>
        </w:rPr>
        <w:t>精神保健</w:t>
      </w:r>
      <w:r w:rsidR="001D121B">
        <w:rPr>
          <w:rFonts w:hint="eastAsia"/>
        </w:rPr>
        <w:t>ケア法に従い</w:t>
      </w:r>
      <w:r w:rsidR="005A283B">
        <w:rPr>
          <w:rFonts w:hint="eastAsia"/>
        </w:rPr>
        <w:t>拘束されてきた人又は強制投薬を</w:t>
      </w:r>
      <w:r w:rsidR="00C466CE">
        <w:rPr>
          <w:rFonts w:hint="eastAsia"/>
        </w:rPr>
        <w:t>施されて</w:t>
      </w:r>
      <w:r w:rsidR="005A283B">
        <w:rPr>
          <w:rFonts w:hint="eastAsia"/>
        </w:rPr>
        <w:t>きた人</w:t>
      </w:r>
      <w:r w:rsidR="00C466CE">
        <w:rPr>
          <w:rFonts w:hint="eastAsia"/>
        </w:rPr>
        <w:t>に</w:t>
      </w:r>
      <w:r w:rsidR="005A283B">
        <w:rPr>
          <w:rFonts w:hint="eastAsia"/>
        </w:rPr>
        <w:t>は</w:t>
      </w:r>
      <w:r w:rsidR="00C466CE">
        <w:rPr>
          <w:rFonts w:hint="eastAsia"/>
        </w:rPr>
        <w:t>、このようなサービスを利用する機会がない。</w:t>
      </w:r>
    </w:p>
    <w:p w14:paraId="4326A061" w14:textId="21609FB3" w:rsidR="00731CCA" w:rsidRDefault="00731CCA" w:rsidP="00731CCA">
      <w:pPr>
        <w:pStyle w:val="af0"/>
        <w:numPr>
          <w:ilvl w:val="0"/>
          <w:numId w:val="4"/>
        </w:numPr>
        <w:ind w:leftChars="0"/>
      </w:pPr>
      <w:r>
        <w:rPr>
          <w:rFonts w:hint="eastAsia"/>
        </w:rPr>
        <w:t>強制的な精神科医療の廃止に関する訴訟において、原告により</w:t>
      </w:r>
      <w:r>
        <w:rPr>
          <w:rFonts w:hint="eastAsia"/>
        </w:rPr>
        <w:t>CRPD</w:t>
      </w:r>
      <w:r>
        <w:rPr>
          <w:rFonts w:hint="eastAsia"/>
        </w:rPr>
        <w:t>が引き合いに出されても、裁判所が</w:t>
      </w:r>
      <w:r>
        <w:rPr>
          <w:rFonts w:hint="eastAsia"/>
        </w:rPr>
        <w:t>CRPD</w:t>
      </w:r>
      <w:r>
        <w:rPr>
          <w:rFonts w:hint="eastAsia"/>
        </w:rPr>
        <w:t>を考慮</w:t>
      </w:r>
      <w:r w:rsidR="00C53FC9">
        <w:rPr>
          <w:rFonts w:hint="eastAsia"/>
        </w:rPr>
        <w:t>したり</w:t>
      </w:r>
      <w:r>
        <w:rPr>
          <w:rStyle w:val="a8"/>
        </w:rPr>
        <w:endnoteReference w:id="50"/>
      </w:r>
      <w:r>
        <w:rPr>
          <w:rFonts w:hint="eastAsia"/>
        </w:rPr>
        <w:t>、そうした強制が</w:t>
      </w:r>
      <w:r>
        <w:rPr>
          <w:rFonts w:hint="eastAsia"/>
        </w:rPr>
        <w:t>CRPD</w:t>
      </w:r>
      <w:r>
        <w:rPr>
          <w:rFonts w:hint="eastAsia"/>
        </w:rPr>
        <w:t>に違反しているか否かを検討したりすること</w:t>
      </w:r>
      <w:r w:rsidR="00C53FC9">
        <w:rPr>
          <w:rFonts w:hint="eastAsia"/>
        </w:rPr>
        <w:t>はほとんど</w:t>
      </w:r>
      <w:r>
        <w:rPr>
          <w:rFonts w:hint="eastAsia"/>
        </w:rPr>
        <w:t>ない。</w:t>
      </w:r>
      <w:r>
        <w:rPr>
          <w:rFonts w:hint="eastAsia"/>
        </w:rPr>
        <w:t>1</w:t>
      </w:r>
      <w:r>
        <w:rPr>
          <w:rFonts w:hint="eastAsia"/>
        </w:rPr>
        <w:t>件の訴訟を除けば、こうした訴訟は</w:t>
      </w:r>
      <w:r w:rsidR="00C1131F">
        <w:rPr>
          <w:rFonts w:hint="eastAsia"/>
        </w:rPr>
        <w:t>主たる重要性に欠けるとして</w:t>
      </w:r>
      <w:r w:rsidR="001D121B">
        <w:rPr>
          <w:rFonts w:hint="eastAsia"/>
        </w:rPr>
        <w:t>、</w:t>
      </w:r>
      <w:r>
        <w:rPr>
          <w:rFonts w:hint="eastAsia"/>
        </w:rPr>
        <w:t>ノルウェー最高裁判所によって却下されてきた。</w:t>
      </w:r>
      <w:r w:rsidR="00C1131F">
        <w:rPr>
          <w:rStyle w:val="a8"/>
        </w:rPr>
        <w:endnoteReference w:id="51"/>
      </w:r>
      <w:r w:rsidR="00C1131F">
        <w:rPr>
          <w:rFonts w:hint="eastAsia"/>
        </w:rPr>
        <w:t>2016</w:t>
      </w:r>
      <w:r w:rsidR="00D3735E">
        <w:rPr>
          <w:rFonts w:hint="eastAsia"/>
        </w:rPr>
        <w:t>年の最高裁判所の判決では、国内の</w:t>
      </w:r>
      <w:r w:rsidR="00C1131F">
        <w:rPr>
          <w:rFonts w:hint="eastAsia"/>
        </w:rPr>
        <w:t>法令</w:t>
      </w:r>
      <w:r w:rsidR="00D3735E">
        <w:rPr>
          <w:rFonts w:hint="eastAsia"/>
        </w:rPr>
        <w:t>を</w:t>
      </w:r>
      <w:r w:rsidR="00C1131F">
        <w:rPr>
          <w:rFonts w:hint="eastAsia"/>
        </w:rPr>
        <w:t>CRPD</w:t>
      </w:r>
      <w:r w:rsidR="002C217F">
        <w:rPr>
          <w:rFonts w:hint="eastAsia"/>
        </w:rPr>
        <w:t>に従ったものとするべく検討</w:t>
      </w:r>
      <w:r w:rsidR="00D3735E">
        <w:rPr>
          <w:rFonts w:hint="eastAsia"/>
        </w:rPr>
        <w:t>がな</w:t>
      </w:r>
      <w:r w:rsidR="00C53FC9">
        <w:rPr>
          <w:rFonts w:hint="eastAsia"/>
        </w:rPr>
        <w:t>されてい</w:t>
      </w:r>
      <w:r w:rsidR="002C217F">
        <w:rPr>
          <w:rFonts w:hint="eastAsia"/>
        </w:rPr>
        <w:t>る</w:t>
      </w:r>
      <w:r w:rsidR="00C53FC9">
        <w:rPr>
          <w:rFonts w:hint="eastAsia"/>
        </w:rPr>
        <w:t>こと、また</w:t>
      </w:r>
      <w:r w:rsidR="002C217F">
        <w:rPr>
          <w:rFonts w:hint="eastAsia"/>
        </w:rPr>
        <w:t>、</w:t>
      </w:r>
      <w:r w:rsidR="00C53FC9">
        <w:rPr>
          <w:rFonts w:hint="eastAsia"/>
        </w:rPr>
        <w:t>ノルウェーが</w:t>
      </w:r>
      <w:r w:rsidR="002C217F">
        <w:rPr>
          <w:rFonts w:hint="eastAsia"/>
        </w:rPr>
        <w:t>解釈宣言を出した</w:t>
      </w:r>
      <w:r w:rsidR="00C53FC9">
        <w:rPr>
          <w:rFonts w:hint="eastAsia"/>
        </w:rPr>
        <w:t>ことが述べられている</w:t>
      </w:r>
      <w:r w:rsidR="002C217F">
        <w:rPr>
          <w:rFonts w:hint="eastAsia"/>
        </w:rPr>
        <w:t>。</w:t>
      </w:r>
      <w:r w:rsidR="002C217F">
        <w:rPr>
          <w:rStyle w:val="a8"/>
        </w:rPr>
        <w:endnoteReference w:id="52"/>
      </w:r>
    </w:p>
    <w:p w14:paraId="79F1E0B3" w14:textId="59B35965" w:rsidR="002C217F" w:rsidRDefault="00A45241" w:rsidP="00731CCA">
      <w:pPr>
        <w:pStyle w:val="af0"/>
        <w:numPr>
          <w:ilvl w:val="0"/>
          <w:numId w:val="4"/>
        </w:numPr>
        <w:ind w:leftChars="0"/>
      </w:pPr>
      <w:r>
        <w:rPr>
          <w:rFonts w:hint="eastAsia"/>
        </w:rPr>
        <w:t>強制投薬及び強制栄養に</w:t>
      </w:r>
      <w:r w:rsidR="006E1EA1">
        <w:rPr>
          <w:rFonts w:hint="eastAsia"/>
        </w:rPr>
        <w:t>関する</w:t>
      </w:r>
      <w:r>
        <w:rPr>
          <w:rFonts w:hint="eastAsia"/>
        </w:rPr>
        <w:t>苦情に</w:t>
      </w:r>
      <w:r w:rsidR="006E1EA1">
        <w:rPr>
          <w:rFonts w:hint="eastAsia"/>
        </w:rPr>
        <w:t>ついては</w:t>
      </w:r>
      <w:r>
        <w:rPr>
          <w:rFonts w:hint="eastAsia"/>
        </w:rPr>
        <w:t>、</w:t>
      </w:r>
      <w:r w:rsidR="002A305C">
        <w:rPr>
          <w:rFonts w:hint="eastAsia"/>
        </w:rPr>
        <w:t>5</w:t>
      </w:r>
      <w:r w:rsidR="002A305C">
        <w:rPr>
          <w:rFonts w:hint="eastAsia"/>
        </w:rPr>
        <w:t>時間の無料法律相談</w:t>
      </w:r>
      <w:r>
        <w:rPr>
          <w:rFonts w:hint="eastAsia"/>
        </w:rPr>
        <w:t>が</w:t>
      </w:r>
      <w:r w:rsidR="006E1EA1">
        <w:rPr>
          <w:rFonts w:hint="eastAsia"/>
        </w:rPr>
        <w:t>実施され</w:t>
      </w:r>
      <w:r>
        <w:rPr>
          <w:rFonts w:hint="eastAsia"/>
        </w:rPr>
        <w:t>ているが、実際にはこれは司法審査の対象ではない。なぜなら、無料の法的代理人に県主任医療官による決定を覆させることはできないからだ。</w:t>
      </w:r>
      <w:r>
        <w:rPr>
          <w:rStyle w:val="a8"/>
        </w:rPr>
        <w:endnoteReference w:id="53"/>
      </w:r>
      <w:r>
        <w:rPr>
          <w:rFonts w:hint="eastAsia"/>
        </w:rPr>
        <w:t>その他の強制措置又は保護に関する苦情に</w:t>
      </w:r>
      <w:r w:rsidR="006E1EA1">
        <w:rPr>
          <w:rFonts w:hint="eastAsia"/>
        </w:rPr>
        <w:t>ついては、</w:t>
      </w:r>
      <w:r>
        <w:rPr>
          <w:rFonts w:hint="eastAsia"/>
        </w:rPr>
        <w:t>無料</w:t>
      </w:r>
      <w:r w:rsidR="006E1EA1">
        <w:rPr>
          <w:rFonts w:hint="eastAsia"/>
        </w:rPr>
        <w:t>の</w:t>
      </w:r>
      <w:r>
        <w:rPr>
          <w:rFonts w:hint="eastAsia"/>
        </w:rPr>
        <w:t>法律扶助は</w:t>
      </w:r>
      <w:r w:rsidR="007238CD">
        <w:rPr>
          <w:rFonts w:hint="eastAsia"/>
        </w:rPr>
        <w:t>与えられ</w:t>
      </w:r>
      <w:r>
        <w:rPr>
          <w:rFonts w:hint="eastAsia"/>
        </w:rPr>
        <w:t>ていない。</w:t>
      </w:r>
      <w:r w:rsidR="006E1EA1">
        <w:rPr>
          <w:rStyle w:val="a8"/>
        </w:rPr>
        <w:endnoteReference w:id="54"/>
      </w:r>
    </w:p>
    <w:p w14:paraId="7BB1AF15" w14:textId="6CB76D30" w:rsidR="006E1EA1" w:rsidRDefault="005C5019" w:rsidP="00731CCA">
      <w:pPr>
        <w:pStyle w:val="af0"/>
        <w:numPr>
          <w:ilvl w:val="0"/>
          <w:numId w:val="4"/>
        </w:numPr>
        <w:ind w:leftChars="0"/>
      </w:pPr>
      <w:r>
        <w:rPr>
          <w:rFonts w:hint="eastAsia"/>
        </w:rPr>
        <w:t>患者及び利用者の権利法第</w:t>
      </w:r>
      <w:r>
        <w:rPr>
          <w:rFonts w:hint="eastAsia"/>
        </w:rPr>
        <w:t>4</w:t>
      </w:r>
      <w:r>
        <w:rPr>
          <w:rFonts w:hint="eastAsia"/>
        </w:rPr>
        <w:t>章</w:t>
      </w:r>
      <w:r>
        <w:rPr>
          <w:rFonts w:hint="eastAsia"/>
        </w:rPr>
        <w:t>A</w:t>
      </w:r>
      <w:r w:rsidR="004930B9">
        <w:rPr>
          <w:rStyle w:val="a8"/>
        </w:rPr>
        <w:endnoteReference w:id="55"/>
      </w:r>
      <w:r>
        <w:rPr>
          <w:rFonts w:hint="eastAsia"/>
        </w:rPr>
        <w:t>に従い、</w:t>
      </w:r>
      <w:r w:rsidR="004930B9">
        <w:rPr>
          <w:rFonts w:hint="eastAsia"/>
        </w:rPr>
        <w:t>同意能力がないと考えられている人に対して、また、</w:t>
      </w:r>
      <w:r w:rsidR="00AD1CF5">
        <w:rPr>
          <w:rFonts w:hint="eastAsia"/>
        </w:rPr>
        <w:t>保健・ケアサ</w:t>
      </w:r>
      <w:r w:rsidR="004930B9">
        <w:rPr>
          <w:rFonts w:hint="eastAsia"/>
        </w:rPr>
        <w:t>ービス法</w:t>
      </w:r>
      <w:r w:rsidR="007411CA">
        <w:rPr>
          <w:rFonts w:hint="eastAsia"/>
        </w:rPr>
        <w:t>（</w:t>
      </w:r>
      <w:r w:rsidR="007411CA" w:rsidRPr="007411CA">
        <w:t>Health and Care Services Act</w:t>
      </w:r>
      <w:r w:rsidR="007411CA">
        <w:rPr>
          <w:rFonts w:hint="eastAsia"/>
        </w:rPr>
        <w:t>）</w:t>
      </w:r>
      <w:r w:rsidR="004930B9">
        <w:rPr>
          <w:rStyle w:val="a8"/>
        </w:rPr>
        <w:endnoteReference w:id="56"/>
      </w:r>
      <w:r w:rsidR="004930B9">
        <w:rPr>
          <w:rFonts w:hint="eastAsia"/>
        </w:rPr>
        <w:t>に従い、知的障害のある人に対して、医療支援を行うため</w:t>
      </w:r>
      <w:r w:rsidR="00E46318">
        <w:rPr>
          <w:rFonts w:hint="eastAsia"/>
        </w:rPr>
        <w:t>の</w:t>
      </w:r>
      <w:r w:rsidR="00587ED4">
        <w:rPr>
          <w:rFonts w:hint="eastAsia"/>
        </w:rPr>
        <w:t>強制が</w:t>
      </w:r>
      <w:r>
        <w:rPr>
          <w:rFonts w:hint="eastAsia"/>
        </w:rPr>
        <w:t>許可されている。</w:t>
      </w:r>
      <w:r w:rsidR="00AD1CF5">
        <w:rPr>
          <w:rFonts w:hint="eastAsia"/>
        </w:rPr>
        <w:t>保健・ケア</w:t>
      </w:r>
      <w:r w:rsidR="004930B9">
        <w:rPr>
          <w:rFonts w:hint="eastAsia"/>
        </w:rPr>
        <w:t>サービス法第</w:t>
      </w:r>
      <w:r w:rsidR="004930B9">
        <w:rPr>
          <w:rFonts w:hint="eastAsia"/>
        </w:rPr>
        <w:t>9</w:t>
      </w:r>
      <w:r w:rsidR="004930B9">
        <w:rPr>
          <w:rFonts w:hint="eastAsia"/>
        </w:rPr>
        <w:t>章の目的が強制</w:t>
      </w:r>
      <w:r w:rsidR="00380746">
        <w:rPr>
          <w:rFonts w:hint="eastAsia"/>
        </w:rPr>
        <w:t>及び実力行使</w:t>
      </w:r>
      <w:r w:rsidR="004930B9">
        <w:rPr>
          <w:rFonts w:hint="eastAsia"/>
        </w:rPr>
        <w:t>を回避することであるにも</w:t>
      </w:r>
      <w:r w:rsidR="001B5D92">
        <w:rPr>
          <w:rFonts w:hint="eastAsia"/>
        </w:rPr>
        <w:t>かか</w:t>
      </w:r>
      <w:r w:rsidR="004930B9">
        <w:rPr>
          <w:rFonts w:hint="eastAsia"/>
        </w:rPr>
        <w:t>わらず、このような方策</w:t>
      </w:r>
      <w:r w:rsidR="00587ED4">
        <w:rPr>
          <w:rFonts w:hint="eastAsia"/>
        </w:rPr>
        <w:t>が</w:t>
      </w:r>
      <w:r w:rsidR="004930B9">
        <w:rPr>
          <w:rFonts w:hint="eastAsia"/>
        </w:rPr>
        <w:t>多数</w:t>
      </w:r>
      <w:r w:rsidR="00587ED4">
        <w:rPr>
          <w:rFonts w:hint="eastAsia"/>
        </w:rPr>
        <w:t>公認</w:t>
      </w:r>
      <w:r w:rsidR="004930B9">
        <w:rPr>
          <w:rFonts w:hint="eastAsia"/>
        </w:rPr>
        <w:t>されてきた。障害者団体から</w:t>
      </w:r>
      <w:r w:rsidR="00587ED4">
        <w:rPr>
          <w:rFonts w:hint="eastAsia"/>
        </w:rPr>
        <w:t>示された</w:t>
      </w:r>
      <w:r w:rsidR="004930B9">
        <w:rPr>
          <w:rFonts w:hint="eastAsia"/>
        </w:rPr>
        <w:t>事例によれば、知的障害のある人に対する拘束と強制措置は、</w:t>
      </w:r>
      <w:r w:rsidR="00FB1743">
        <w:rPr>
          <w:rFonts w:hint="eastAsia"/>
        </w:rPr>
        <w:t>薄弱な根拠に基づいて決定されている。</w:t>
      </w:r>
      <w:r w:rsidR="00FB1743">
        <w:rPr>
          <w:rStyle w:val="a8"/>
        </w:rPr>
        <w:endnoteReference w:id="57"/>
      </w:r>
      <w:r w:rsidR="00587ED4">
        <w:rPr>
          <w:rFonts w:hint="eastAsia"/>
        </w:rPr>
        <w:t>何が</w:t>
      </w:r>
      <w:r w:rsidR="00FB1743">
        <w:rPr>
          <w:rFonts w:hint="eastAsia"/>
        </w:rPr>
        <w:t>適切な強制措置</w:t>
      </w:r>
      <w:r w:rsidR="00E46318">
        <w:rPr>
          <w:rFonts w:hint="eastAsia"/>
        </w:rPr>
        <w:t>及び</w:t>
      </w:r>
      <w:r w:rsidR="00587ED4">
        <w:rPr>
          <w:rFonts w:hint="eastAsia"/>
        </w:rPr>
        <w:t>そ</w:t>
      </w:r>
      <w:r w:rsidR="00FB1743">
        <w:rPr>
          <w:rFonts w:hint="eastAsia"/>
        </w:rPr>
        <w:t>のような措置を実施するきっかけとなる基準</w:t>
      </w:r>
      <w:r w:rsidR="00587ED4">
        <w:rPr>
          <w:rFonts w:hint="eastAsia"/>
        </w:rPr>
        <w:t>とされるのか</w:t>
      </w:r>
      <w:r w:rsidR="00FB1743">
        <w:rPr>
          <w:rFonts w:hint="eastAsia"/>
        </w:rPr>
        <w:t>は</w:t>
      </w:r>
      <w:r w:rsidR="00587ED4">
        <w:rPr>
          <w:rFonts w:hint="eastAsia"/>
        </w:rPr>
        <w:t>、</w:t>
      </w:r>
      <w:r w:rsidR="00380746">
        <w:rPr>
          <w:rFonts w:hint="eastAsia"/>
        </w:rPr>
        <w:t>明確ではない</w:t>
      </w:r>
      <w:r w:rsidR="00FB1743">
        <w:rPr>
          <w:rFonts w:hint="eastAsia"/>
        </w:rPr>
        <w:t>。調査研究によれば、市町村</w:t>
      </w:r>
      <w:r w:rsidR="008A7C2B">
        <w:rPr>
          <w:rFonts w:hint="eastAsia"/>
        </w:rPr>
        <w:t>には資格を</w:t>
      </w:r>
      <w:r w:rsidR="00587ED4">
        <w:rPr>
          <w:rFonts w:hint="eastAsia"/>
        </w:rPr>
        <w:t>持つ</w:t>
      </w:r>
      <w:r w:rsidR="008A7C2B">
        <w:rPr>
          <w:rFonts w:hint="eastAsia"/>
        </w:rPr>
        <w:t>スタッフが</w:t>
      </w:r>
      <w:r w:rsidR="00587ED4">
        <w:rPr>
          <w:rFonts w:hint="eastAsia"/>
        </w:rPr>
        <w:t>十分に</w:t>
      </w:r>
      <w:r w:rsidR="008A7C2B">
        <w:rPr>
          <w:rFonts w:hint="eastAsia"/>
        </w:rPr>
        <w:t>おらず、これは有資格者</w:t>
      </w:r>
      <w:r w:rsidR="00587ED4">
        <w:rPr>
          <w:rFonts w:hint="eastAsia"/>
        </w:rPr>
        <w:t>を置く</w:t>
      </w:r>
      <w:r w:rsidR="008A7C2B">
        <w:rPr>
          <w:rFonts w:hint="eastAsia"/>
        </w:rPr>
        <w:t>という法的要件に違反している。</w:t>
      </w:r>
      <w:r w:rsidR="008A7C2B">
        <w:rPr>
          <w:rStyle w:val="a8"/>
        </w:rPr>
        <w:endnoteReference w:id="58"/>
      </w:r>
    </w:p>
    <w:p w14:paraId="1ADAF62A" w14:textId="6D7FCCEC" w:rsidR="008A7C2B" w:rsidRDefault="00D86DE8" w:rsidP="00731CCA">
      <w:pPr>
        <w:pStyle w:val="af0"/>
        <w:numPr>
          <w:ilvl w:val="0"/>
          <w:numId w:val="4"/>
        </w:numPr>
        <w:ind w:leftChars="0"/>
      </w:pPr>
      <w:r>
        <w:rPr>
          <w:rFonts w:hint="eastAsia"/>
        </w:rPr>
        <w:t>学校における</w:t>
      </w:r>
      <w:r w:rsidR="00380746">
        <w:rPr>
          <w:rFonts w:hint="eastAsia"/>
        </w:rPr>
        <w:t>実力行使又は</w:t>
      </w:r>
      <w:r>
        <w:rPr>
          <w:rFonts w:hint="eastAsia"/>
        </w:rPr>
        <w:t>体罰は禁止されているが、必要に応じて暴力行為に介入する</w:t>
      </w:r>
      <w:r w:rsidR="00125F34">
        <w:rPr>
          <w:rFonts w:hint="eastAsia"/>
        </w:rPr>
        <w:t>ことは</w:t>
      </w:r>
      <w:r>
        <w:rPr>
          <w:rFonts w:hint="eastAsia"/>
        </w:rPr>
        <w:t>可能である。</w:t>
      </w:r>
      <w:r w:rsidR="00125F34">
        <w:rPr>
          <w:rStyle w:val="a8"/>
        </w:rPr>
        <w:endnoteReference w:id="59"/>
      </w:r>
      <w:r w:rsidR="00EF461A">
        <w:rPr>
          <w:rFonts w:hint="eastAsia"/>
        </w:rPr>
        <w:t>ヴェストフォル県における調査によれば、</w:t>
      </w:r>
      <w:r w:rsidR="00EC37E2">
        <w:rPr>
          <w:rFonts w:hint="eastAsia"/>
        </w:rPr>
        <w:t>教員</w:t>
      </w:r>
      <w:r w:rsidR="00EF461A">
        <w:rPr>
          <w:rFonts w:hint="eastAsia"/>
        </w:rPr>
        <w:t>の</w:t>
      </w:r>
      <w:r w:rsidR="00EF461A">
        <w:rPr>
          <w:rFonts w:hint="eastAsia"/>
        </w:rPr>
        <w:t>73</w:t>
      </w:r>
      <w:r w:rsidR="00EF461A">
        <w:rPr>
          <w:rFonts w:hint="eastAsia"/>
        </w:rPr>
        <w:t>パーセントが、特に特別支援教育を受けている知的障害のある生徒や自閉症の生徒に対して、違法な</w:t>
      </w:r>
      <w:r w:rsidR="00380746">
        <w:rPr>
          <w:rFonts w:hint="eastAsia"/>
        </w:rPr>
        <w:t>実力行使</w:t>
      </w:r>
      <w:r w:rsidR="00EF461A">
        <w:rPr>
          <w:rFonts w:hint="eastAsia"/>
        </w:rPr>
        <w:t>を</w:t>
      </w:r>
      <w:r w:rsidR="00F14C7F">
        <w:rPr>
          <w:rFonts w:hint="eastAsia"/>
        </w:rPr>
        <w:t>し</w:t>
      </w:r>
      <w:r w:rsidR="00380746">
        <w:rPr>
          <w:rFonts w:hint="eastAsia"/>
        </w:rPr>
        <w:t>た</w:t>
      </w:r>
      <w:r w:rsidR="00EF461A">
        <w:rPr>
          <w:rFonts w:hint="eastAsia"/>
        </w:rPr>
        <w:t>ことがあった。</w:t>
      </w:r>
      <w:r w:rsidR="00EF461A">
        <w:rPr>
          <w:rStyle w:val="a8"/>
        </w:rPr>
        <w:endnoteReference w:id="60"/>
      </w:r>
      <w:r w:rsidR="00EF461A">
        <w:rPr>
          <w:rFonts w:hint="eastAsia"/>
        </w:rPr>
        <w:t>同様な調査は他県では実施されていないが、学校で強制が使用される頻度は、全般的に高いと考えられる。</w:t>
      </w:r>
      <w:r w:rsidR="00EF461A">
        <w:rPr>
          <w:rStyle w:val="a8"/>
        </w:rPr>
        <w:endnoteReference w:id="61"/>
      </w:r>
    </w:p>
    <w:p w14:paraId="07C3E223" w14:textId="5D7418CD" w:rsidR="00EF461A" w:rsidRDefault="00EF461A" w:rsidP="00EF461A">
      <w:pPr>
        <w:pStyle w:val="af0"/>
        <w:numPr>
          <w:ilvl w:val="1"/>
          <w:numId w:val="3"/>
        </w:numPr>
        <w:ind w:leftChars="0"/>
      </w:pPr>
      <w:r>
        <w:rPr>
          <w:rFonts w:hint="eastAsia"/>
        </w:rPr>
        <w:t>ノルウェーは</w:t>
      </w:r>
      <w:r w:rsidR="00586EAA">
        <w:rPr>
          <w:rFonts w:hint="eastAsia"/>
        </w:rPr>
        <w:t>、</w:t>
      </w:r>
      <w:r>
        <w:rPr>
          <w:rFonts w:hint="eastAsia"/>
        </w:rPr>
        <w:t>第</w:t>
      </w:r>
      <w:r>
        <w:rPr>
          <w:rFonts w:hint="eastAsia"/>
        </w:rPr>
        <w:t>14</w:t>
      </w:r>
      <w:r>
        <w:rPr>
          <w:rFonts w:hint="eastAsia"/>
        </w:rPr>
        <w:t>条／第</w:t>
      </w:r>
      <w:r>
        <w:rPr>
          <w:rFonts w:hint="eastAsia"/>
        </w:rPr>
        <w:t>25</w:t>
      </w:r>
      <w:r>
        <w:rPr>
          <w:rFonts w:hint="eastAsia"/>
        </w:rPr>
        <w:t>条に関する宣言を</w:t>
      </w:r>
      <w:r w:rsidR="00586EAA">
        <w:rPr>
          <w:rFonts w:hint="eastAsia"/>
        </w:rPr>
        <w:t>いつ</w:t>
      </w:r>
      <w:r>
        <w:rPr>
          <w:rFonts w:hint="eastAsia"/>
        </w:rPr>
        <w:t>撤回するのか？</w:t>
      </w:r>
    </w:p>
    <w:p w14:paraId="45ED9308" w14:textId="2C5CCA4A" w:rsidR="00EF461A" w:rsidRDefault="00D30EA8" w:rsidP="00EF461A">
      <w:pPr>
        <w:pStyle w:val="af0"/>
        <w:numPr>
          <w:ilvl w:val="1"/>
          <w:numId w:val="3"/>
        </w:numPr>
        <w:ind w:leftChars="0"/>
      </w:pPr>
      <w:r>
        <w:rPr>
          <w:rFonts w:hint="eastAsia"/>
        </w:rPr>
        <w:t>精神保健</w:t>
      </w:r>
      <w:r w:rsidR="00EF461A">
        <w:rPr>
          <w:rFonts w:hint="eastAsia"/>
        </w:rPr>
        <w:t>ケア法、患者及び利用者の権利法第</w:t>
      </w:r>
      <w:r w:rsidR="00EF461A">
        <w:rPr>
          <w:rFonts w:hint="eastAsia"/>
        </w:rPr>
        <w:t>4</w:t>
      </w:r>
      <w:r w:rsidR="00EF461A">
        <w:rPr>
          <w:rFonts w:hint="eastAsia"/>
        </w:rPr>
        <w:t>章</w:t>
      </w:r>
      <w:r w:rsidR="00EF461A">
        <w:rPr>
          <w:rFonts w:hint="eastAsia"/>
        </w:rPr>
        <w:t>A</w:t>
      </w:r>
      <w:r w:rsidR="00AD1CF5">
        <w:rPr>
          <w:rFonts w:hint="eastAsia"/>
        </w:rPr>
        <w:t>及び保健・ケア</w:t>
      </w:r>
      <w:r w:rsidR="00EF461A">
        <w:rPr>
          <w:rFonts w:hint="eastAsia"/>
        </w:rPr>
        <w:t>サービス法の法規定を廃止</w:t>
      </w:r>
      <w:r w:rsidR="00586EAA">
        <w:rPr>
          <w:rFonts w:hint="eastAsia"/>
        </w:rPr>
        <w:t>し、いかなる場合でも、機能障害に基づき</w:t>
      </w:r>
      <w:r w:rsidR="00935302">
        <w:rPr>
          <w:rFonts w:hint="eastAsia"/>
        </w:rPr>
        <w:t>自由を剥奪されたり強制の対象とされたりする可能性がないことを確保</w:t>
      </w:r>
      <w:r w:rsidR="00EF461A">
        <w:rPr>
          <w:rFonts w:hint="eastAsia"/>
        </w:rPr>
        <w:t>するために、どのような方策が講じられているのか？</w:t>
      </w:r>
      <w:r w:rsidR="00935302">
        <w:rPr>
          <w:rFonts w:hint="eastAsia"/>
        </w:rPr>
        <w:t xml:space="preserve">　診断に基づく強制の使用を許可する法令は、</w:t>
      </w:r>
      <w:r w:rsidR="00F14C7F">
        <w:rPr>
          <w:rFonts w:hint="eastAsia"/>
        </w:rPr>
        <w:t>いつ</w:t>
      </w:r>
      <w:r w:rsidR="00935302">
        <w:rPr>
          <w:rFonts w:hint="eastAsia"/>
        </w:rPr>
        <w:t>反差別的な法令に置き換えられるのか？</w:t>
      </w:r>
    </w:p>
    <w:p w14:paraId="21BB9087" w14:textId="192908CA" w:rsidR="00935302" w:rsidRDefault="00935302" w:rsidP="00EF461A">
      <w:pPr>
        <w:pStyle w:val="af0"/>
        <w:numPr>
          <w:ilvl w:val="1"/>
          <w:numId w:val="3"/>
        </w:numPr>
        <w:ind w:leftChars="0"/>
      </w:pPr>
      <w:r>
        <w:rPr>
          <w:rFonts w:hint="eastAsia"/>
        </w:rPr>
        <w:t>教育制度における強制の使用を防止するために、政府は何をするのか？</w:t>
      </w:r>
    </w:p>
    <w:p w14:paraId="5642FF6E" w14:textId="1048F8A8" w:rsidR="00935302" w:rsidRDefault="00935302" w:rsidP="00EF461A">
      <w:pPr>
        <w:pStyle w:val="af0"/>
        <w:numPr>
          <w:ilvl w:val="1"/>
          <w:numId w:val="3"/>
        </w:numPr>
        <w:ind w:leftChars="0"/>
      </w:pPr>
      <w:r>
        <w:rPr>
          <w:rFonts w:hint="eastAsia"/>
        </w:rPr>
        <w:t>障害のある人に対する</w:t>
      </w:r>
      <w:r w:rsidR="00A0433F">
        <w:rPr>
          <w:rFonts w:hint="eastAsia"/>
        </w:rPr>
        <w:t>あらゆる形態による</w:t>
      </w:r>
      <w:r>
        <w:rPr>
          <w:rFonts w:hint="eastAsia"/>
        </w:rPr>
        <w:t>強制の使用</w:t>
      </w:r>
      <w:r w:rsidR="00A0433F">
        <w:rPr>
          <w:rFonts w:hint="eastAsia"/>
        </w:rPr>
        <w:t>に関する</w:t>
      </w:r>
      <w:r>
        <w:rPr>
          <w:rFonts w:hint="eastAsia"/>
        </w:rPr>
        <w:t>効率的な司法審査は、いつ</w:t>
      </w:r>
      <w:r w:rsidR="00A0433F">
        <w:rPr>
          <w:rFonts w:hint="eastAsia"/>
        </w:rPr>
        <w:t>導入されるのか？</w:t>
      </w:r>
    </w:p>
    <w:p w14:paraId="2AB46C79" w14:textId="0E02EDEF" w:rsidR="00A5468C" w:rsidRPr="00B64BF7" w:rsidRDefault="00A5468C" w:rsidP="00A5468C">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15</w:t>
      </w:r>
      <w:r w:rsidRPr="00B64BF7">
        <w:rPr>
          <w:rFonts w:asciiTheme="majorEastAsia" w:eastAsiaTheme="majorEastAsia" w:hAnsiTheme="majorEastAsia" w:hint="eastAsia"/>
        </w:rPr>
        <w:t>条：拷問又は残虐な、非人道的な若しくは品位を傷つける取扱い若しくは刑罰からの自由</w:t>
      </w:r>
    </w:p>
    <w:p w14:paraId="6055DD6C" w14:textId="13E79D2F" w:rsidR="00EF461A" w:rsidRDefault="00975002" w:rsidP="00731CCA">
      <w:pPr>
        <w:pStyle w:val="af0"/>
        <w:numPr>
          <w:ilvl w:val="0"/>
          <w:numId w:val="4"/>
        </w:numPr>
        <w:ind w:leftChars="0"/>
      </w:pPr>
      <w:r>
        <w:rPr>
          <w:rFonts w:hint="eastAsia"/>
        </w:rPr>
        <w:t>電気けいれん療法（</w:t>
      </w:r>
      <w:r>
        <w:rPr>
          <w:rFonts w:hint="eastAsia"/>
        </w:rPr>
        <w:t>ECT</w:t>
      </w:r>
      <w:r>
        <w:rPr>
          <w:rFonts w:hint="eastAsia"/>
        </w:rPr>
        <w:t>）の使用には、事情を知らされた上での</w:t>
      </w:r>
      <w:r w:rsidR="009A7BA4">
        <w:rPr>
          <w:rFonts w:hint="eastAsia"/>
        </w:rPr>
        <w:t>自由</w:t>
      </w:r>
      <w:r w:rsidR="002C589E">
        <w:rPr>
          <w:rFonts w:hint="eastAsia"/>
        </w:rPr>
        <w:t>意思</w:t>
      </w:r>
      <w:r w:rsidR="009A7BA4">
        <w:rPr>
          <w:rFonts w:hint="eastAsia"/>
        </w:rPr>
        <w:t>による</w:t>
      </w:r>
      <w:r>
        <w:rPr>
          <w:rFonts w:hint="eastAsia"/>
        </w:rPr>
        <w:t>同意が必要だが、刑法の</w:t>
      </w:r>
      <w:r w:rsidR="00FD1392">
        <w:rPr>
          <w:rFonts w:hint="eastAsia"/>
        </w:rPr>
        <w:t>必要性</w:t>
      </w:r>
      <w:r w:rsidR="005F5CBF">
        <w:rPr>
          <w:rFonts w:hint="eastAsia"/>
        </w:rPr>
        <w:t>条項</w:t>
      </w:r>
      <w:r>
        <w:rPr>
          <w:rFonts w:hint="eastAsia"/>
        </w:rPr>
        <w:t>によって</w:t>
      </w:r>
      <w:r w:rsidR="005F5CBF">
        <w:rPr>
          <w:rFonts w:hint="eastAsia"/>
        </w:rPr>
        <w:t>正当と</w:t>
      </w:r>
      <w:r>
        <w:rPr>
          <w:rFonts w:hint="eastAsia"/>
        </w:rPr>
        <w:t>認められた場合、強制的に実施することができる。</w:t>
      </w:r>
      <w:r w:rsidR="005F5CBF">
        <w:rPr>
          <w:rStyle w:val="a8"/>
        </w:rPr>
        <w:endnoteReference w:id="62"/>
      </w:r>
      <w:r w:rsidR="00591DB1">
        <w:rPr>
          <w:rFonts w:hint="eastAsia"/>
        </w:rPr>
        <w:t>法定要件は</w:t>
      </w:r>
      <w:r w:rsidR="005F5CBF">
        <w:rPr>
          <w:rFonts w:hint="eastAsia"/>
        </w:rPr>
        <w:t>満たされていない。</w:t>
      </w:r>
      <w:r w:rsidR="005F5CBF">
        <w:rPr>
          <w:rStyle w:val="a8"/>
        </w:rPr>
        <w:endnoteReference w:id="63"/>
      </w:r>
      <w:r w:rsidR="005F5CBF">
        <w:rPr>
          <w:rFonts w:hint="eastAsia"/>
        </w:rPr>
        <w:t>ECT</w:t>
      </w:r>
      <w:r w:rsidR="005F5CBF">
        <w:rPr>
          <w:rFonts w:hint="eastAsia"/>
        </w:rPr>
        <w:t>が法的必要性に基づき使用される場合、それを止めたり、不服を申</w:t>
      </w:r>
      <w:r w:rsidR="008837DD">
        <w:rPr>
          <w:rFonts w:hint="eastAsia"/>
        </w:rPr>
        <w:t>し</w:t>
      </w:r>
      <w:r w:rsidR="005F5CBF">
        <w:rPr>
          <w:rFonts w:hint="eastAsia"/>
        </w:rPr>
        <w:t>立てたりすることはできない。</w:t>
      </w:r>
      <w:r w:rsidR="005F5CBF">
        <w:rPr>
          <w:rStyle w:val="a8"/>
        </w:rPr>
        <w:endnoteReference w:id="64"/>
      </w:r>
    </w:p>
    <w:p w14:paraId="62671E94" w14:textId="05254E06" w:rsidR="00983CAE" w:rsidRDefault="00983CAE" w:rsidP="00983CAE">
      <w:pPr>
        <w:pStyle w:val="af0"/>
        <w:numPr>
          <w:ilvl w:val="1"/>
          <w:numId w:val="3"/>
        </w:numPr>
        <w:ind w:leftChars="0"/>
      </w:pPr>
      <w:r>
        <w:rPr>
          <w:rFonts w:hint="eastAsia"/>
        </w:rPr>
        <w:t>拘束の使用及び</w:t>
      </w:r>
      <w:r w:rsidR="00930EF9">
        <w:rPr>
          <w:rFonts w:hint="eastAsia"/>
        </w:rPr>
        <w:t>神経遮断薬や</w:t>
      </w:r>
      <w:r w:rsidR="00930EF9">
        <w:rPr>
          <w:rFonts w:hint="eastAsia"/>
        </w:rPr>
        <w:t>ECT</w:t>
      </w:r>
      <w:r w:rsidR="00CB367B">
        <w:rPr>
          <w:rFonts w:hint="eastAsia"/>
        </w:rPr>
        <w:t>など</w:t>
      </w:r>
      <w:r w:rsidR="00930EF9">
        <w:rPr>
          <w:rFonts w:hint="eastAsia"/>
        </w:rPr>
        <w:t>の侵襲</w:t>
      </w:r>
      <w:r>
        <w:rPr>
          <w:rFonts w:hint="eastAsia"/>
        </w:rPr>
        <w:t>的かつ</w:t>
      </w:r>
      <w:r w:rsidR="00930EF9">
        <w:rPr>
          <w:rFonts w:hint="eastAsia"/>
        </w:rPr>
        <w:t>付加逆的な治療の</w:t>
      </w:r>
      <w:r>
        <w:rPr>
          <w:rFonts w:hint="eastAsia"/>
        </w:rPr>
        <w:t>強制的な実施</w:t>
      </w:r>
      <w:r w:rsidR="00CB367B">
        <w:rPr>
          <w:rFonts w:hint="eastAsia"/>
        </w:rPr>
        <w:t>の</w:t>
      </w:r>
      <w:r>
        <w:rPr>
          <w:rFonts w:hint="eastAsia"/>
        </w:rPr>
        <w:t>廃止を法律に盛り込むという</w:t>
      </w:r>
      <w:r w:rsidR="00930EF9">
        <w:rPr>
          <w:rFonts w:hint="eastAsia"/>
        </w:rPr>
        <w:t>、</w:t>
      </w:r>
      <w:r w:rsidR="00204CAC">
        <w:rPr>
          <w:rFonts w:hint="eastAsia"/>
        </w:rPr>
        <w:t>経済的、社会的及び文化的権利に関する委員会</w:t>
      </w:r>
      <w:r>
        <w:rPr>
          <w:rFonts w:hint="eastAsia"/>
        </w:rPr>
        <w:t>による</w:t>
      </w:r>
      <w:r>
        <w:rPr>
          <w:rFonts w:hint="eastAsia"/>
        </w:rPr>
        <w:t>2013</w:t>
      </w:r>
      <w:r>
        <w:rPr>
          <w:rFonts w:hint="eastAsia"/>
        </w:rPr>
        <w:t>年の勧告</w:t>
      </w:r>
      <w:r>
        <w:rPr>
          <w:rStyle w:val="a8"/>
        </w:rPr>
        <w:endnoteReference w:id="65"/>
      </w:r>
      <w:r w:rsidR="00930EF9">
        <w:rPr>
          <w:rFonts w:hint="eastAsia"/>
        </w:rPr>
        <w:t>と</w:t>
      </w:r>
      <w:r>
        <w:rPr>
          <w:rFonts w:hint="eastAsia"/>
        </w:rPr>
        <w:t>拷問禁止委員会による</w:t>
      </w:r>
      <w:r>
        <w:rPr>
          <w:rFonts w:hint="eastAsia"/>
        </w:rPr>
        <w:t>2018</w:t>
      </w:r>
      <w:r>
        <w:rPr>
          <w:rFonts w:hint="eastAsia"/>
        </w:rPr>
        <w:t>年の勧告</w:t>
      </w:r>
      <w:r>
        <w:rPr>
          <w:rStyle w:val="a8"/>
        </w:rPr>
        <w:endnoteReference w:id="66"/>
      </w:r>
      <w:r w:rsidR="00E15FDD">
        <w:rPr>
          <w:rFonts w:hint="eastAsia"/>
        </w:rPr>
        <w:t>に従う</w:t>
      </w:r>
      <w:r>
        <w:rPr>
          <w:rFonts w:hint="eastAsia"/>
        </w:rPr>
        <w:t>ために、何がなされてきたか、また、何がなされるのか？</w:t>
      </w:r>
    </w:p>
    <w:p w14:paraId="408BFB22" w14:textId="24258DCD" w:rsidR="00191769" w:rsidRPr="00B64BF7" w:rsidRDefault="00191769" w:rsidP="00191769">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16</w:t>
      </w:r>
      <w:r w:rsidRPr="00B64BF7">
        <w:rPr>
          <w:rFonts w:asciiTheme="majorEastAsia" w:eastAsiaTheme="majorEastAsia" w:hAnsiTheme="majorEastAsia" w:hint="eastAsia"/>
        </w:rPr>
        <w:t>条：搾取、暴力及び虐待からの自由</w:t>
      </w:r>
    </w:p>
    <w:p w14:paraId="2CF941B2" w14:textId="6953A005" w:rsidR="00D272AB" w:rsidRDefault="00054903" w:rsidP="00F635E3">
      <w:pPr>
        <w:pStyle w:val="af0"/>
        <w:numPr>
          <w:ilvl w:val="0"/>
          <w:numId w:val="4"/>
        </w:numPr>
        <w:ind w:leftChars="0"/>
      </w:pPr>
      <w:r>
        <w:rPr>
          <w:rFonts w:hint="eastAsia"/>
        </w:rPr>
        <w:t>障害のある人に対する、障害を理由とした</w:t>
      </w:r>
      <w:r w:rsidR="00766B64">
        <w:rPr>
          <w:rFonts w:hint="eastAsia"/>
        </w:rPr>
        <w:t>いじめ、</w:t>
      </w:r>
      <w:r>
        <w:rPr>
          <w:rFonts w:hint="eastAsia"/>
        </w:rPr>
        <w:t>ハラスメント、排除、暴力、ヘイトスピーチ及びヘイトクライムなど、偏見に基づく</w:t>
      </w:r>
      <w:r w:rsidR="00766B64">
        <w:rPr>
          <w:rFonts w:hint="eastAsia"/>
        </w:rPr>
        <w:t>差別の広範な証拠書類が、</w:t>
      </w:r>
      <w:r w:rsidR="00E26498">
        <w:rPr>
          <w:rFonts w:hint="eastAsia"/>
        </w:rPr>
        <w:t>個人の裁判</w:t>
      </w:r>
      <w:r w:rsidR="00E26498">
        <w:rPr>
          <w:rStyle w:val="a8"/>
        </w:rPr>
        <w:endnoteReference w:id="67"/>
      </w:r>
      <w:r w:rsidR="00E26498">
        <w:rPr>
          <w:rFonts w:hint="eastAsia"/>
        </w:rPr>
        <w:t>において示されてきた</w:t>
      </w:r>
      <w:r w:rsidR="00766B64">
        <w:rPr>
          <w:rFonts w:hint="eastAsia"/>
        </w:rPr>
        <w:t>。</w:t>
      </w:r>
      <w:r w:rsidR="00E26498">
        <w:rPr>
          <w:rFonts w:hint="eastAsia"/>
        </w:rPr>
        <w:t>機能障害のある人に対するヘイトスピーチに関する大規模な研究によれば、</w:t>
      </w:r>
      <w:r w:rsidR="00E26498">
        <w:rPr>
          <w:rFonts w:hint="eastAsia"/>
        </w:rPr>
        <w:t>32</w:t>
      </w:r>
      <w:r w:rsidR="00E26498">
        <w:rPr>
          <w:rFonts w:hint="eastAsia"/>
        </w:rPr>
        <w:t>％を超える人がヘイトスピーチの対象とされてきた。また、</w:t>
      </w:r>
      <w:r w:rsidR="00E26498">
        <w:rPr>
          <w:rFonts w:hint="eastAsia"/>
        </w:rPr>
        <w:t>3</w:t>
      </w:r>
      <w:r w:rsidR="00E26498">
        <w:rPr>
          <w:rFonts w:hint="eastAsia"/>
        </w:rPr>
        <w:t>分の</w:t>
      </w:r>
      <w:r w:rsidR="00E26498">
        <w:rPr>
          <w:rFonts w:hint="eastAsia"/>
        </w:rPr>
        <w:t>1</w:t>
      </w:r>
      <w:r w:rsidR="00E26498">
        <w:rPr>
          <w:rFonts w:hint="eastAsia"/>
        </w:rPr>
        <w:t>が警察に通報した</w:t>
      </w:r>
      <w:r>
        <w:rPr>
          <w:rFonts w:hint="eastAsia"/>
        </w:rPr>
        <w:t>ことが明らかになった</w:t>
      </w:r>
      <w:r w:rsidR="00E26498">
        <w:rPr>
          <w:rFonts w:hint="eastAsia"/>
        </w:rPr>
        <w:t>。</w:t>
      </w:r>
      <w:r w:rsidR="00E26498">
        <w:rPr>
          <w:rStyle w:val="a8"/>
        </w:rPr>
        <w:endnoteReference w:id="68"/>
      </w:r>
      <w:r w:rsidR="00557C08">
        <w:rPr>
          <w:rFonts w:hint="eastAsia"/>
        </w:rPr>
        <w:t>ヘイトクライムと闘う全国的な取り組みにおいて</w:t>
      </w:r>
      <w:r>
        <w:rPr>
          <w:rFonts w:hint="eastAsia"/>
        </w:rPr>
        <w:t>、</w:t>
      </w:r>
      <w:r w:rsidR="000A0369">
        <w:rPr>
          <w:rFonts w:hint="eastAsia"/>
        </w:rPr>
        <w:t>障害のある人は</w:t>
      </w:r>
      <w:r w:rsidR="00557C08">
        <w:rPr>
          <w:rFonts w:hint="eastAsia"/>
        </w:rPr>
        <w:t>優先順位が低い。障害のある人に対するヘイトクライムは、警察と裁判所が必要な能力を備えていないため、ヘイトクライムとして認定されることも、</w:t>
      </w:r>
      <w:r w:rsidR="0095462F">
        <w:rPr>
          <w:rFonts w:hint="eastAsia"/>
        </w:rPr>
        <w:t>調査</w:t>
      </w:r>
      <w:r w:rsidR="00557C08">
        <w:rPr>
          <w:rFonts w:hint="eastAsia"/>
        </w:rPr>
        <w:t>が行われることもない。</w:t>
      </w:r>
      <w:r w:rsidR="00AF6E0B">
        <w:rPr>
          <w:rFonts w:hint="eastAsia"/>
        </w:rPr>
        <w:t>警察官及び</w:t>
      </w:r>
      <w:r w:rsidR="0059243E">
        <w:rPr>
          <w:rFonts w:hint="eastAsia"/>
        </w:rPr>
        <w:t>ノルウェー</w:t>
      </w:r>
      <w:r w:rsidR="00AF6E0B">
        <w:rPr>
          <w:rFonts w:hint="eastAsia"/>
        </w:rPr>
        <w:t>司法省職員への聞き取り調査に基づく研究</w:t>
      </w:r>
      <w:r w:rsidR="000A0369">
        <w:rPr>
          <w:rFonts w:hint="eastAsia"/>
        </w:rPr>
        <w:t>で</w:t>
      </w:r>
      <w:r w:rsidR="00AF6E0B">
        <w:rPr>
          <w:rFonts w:hint="eastAsia"/>
        </w:rPr>
        <w:t>は、障害に対する敵意</w:t>
      </w:r>
      <w:r w:rsidR="0059243E">
        <w:rPr>
          <w:rFonts w:hint="eastAsia"/>
        </w:rPr>
        <w:t>が暴力の動機となっている可能性があるという懸念が、刑事司法制度内にあることが確認され</w:t>
      </w:r>
      <w:r w:rsidR="00F44C41">
        <w:rPr>
          <w:rFonts w:hint="eastAsia"/>
        </w:rPr>
        <w:t>ている</w:t>
      </w:r>
      <w:r w:rsidR="0059243E">
        <w:rPr>
          <w:rFonts w:hint="eastAsia"/>
        </w:rPr>
        <w:t>。障害のある人に対する暴力は、</w:t>
      </w:r>
      <w:r w:rsidR="00844DF4">
        <w:rPr>
          <w:rFonts w:hint="eastAsia"/>
        </w:rPr>
        <w:t>「無防備な」人に対する暴力を含む</w:t>
      </w:r>
      <w:r w:rsidR="00B652AB">
        <w:rPr>
          <w:rFonts w:hint="eastAsia"/>
        </w:rPr>
        <w:t>別</w:t>
      </w:r>
      <w:r w:rsidR="00844DF4">
        <w:rPr>
          <w:rFonts w:hint="eastAsia"/>
        </w:rPr>
        <w:t>の</w:t>
      </w:r>
      <w:r w:rsidR="0059243E">
        <w:rPr>
          <w:rFonts w:hint="eastAsia"/>
        </w:rPr>
        <w:t>形態の犯罪として</w:t>
      </w:r>
      <w:r w:rsidR="00844DF4">
        <w:rPr>
          <w:rFonts w:hint="eastAsia"/>
        </w:rPr>
        <w:t>登録され、裁判にかけられることが多い。</w:t>
      </w:r>
      <w:r w:rsidR="00844DF4">
        <w:rPr>
          <w:rStyle w:val="a8"/>
        </w:rPr>
        <w:endnoteReference w:id="69"/>
      </w:r>
    </w:p>
    <w:p w14:paraId="4CA48500" w14:textId="1777EA9B" w:rsidR="00844DF4" w:rsidRDefault="00844DF4" w:rsidP="00844DF4">
      <w:pPr>
        <w:pStyle w:val="af0"/>
        <w:numPr>
          <w:ilvl w:val="1"/>
          <w:numId w:val="3"/>
        </w:numPr>
        <w:ind w:leftChars="0"/>
      </w:pPr>
      <w:r>
        <w:rPr>
          <w:rFonts w:hint="eastAsia"/>
        </w:rPr>
        <w:t>障害のある人が、ヘイトクライムを含む侮辱、脅迫及び虐待</w:t>
      </w:r>
      <w:r w:rsidR="00B11AE3">
        <w:rPr>
          <w:rFonts w:hint="eastAsia"/>
        </w:rPr>
        <w:t>を受ける</w:t>
      </w:r>
      <w:r>
        <w:rPr>
          <w:rFonts w:hint="eastAsia"/>
        </w:rPr>
        <w:t>ことを防ぐために、何がなされるのか？</w:t>
      </w:r>
      <w:r w:rsidR="00B11AE3">
        <w:rPr>
          <w:rFonts w:hint="eastAsia"/>
        </w:rPr>
        <w:t xml:space="preserve">　このような犯罪の</w:t>
      </w:r>
      <w:r w:rsidR="00591DB1">
        <w:rPr>
          <w:rFonts w:hint="eastAsia"/>
        </w:rPr>
        <w:t>認定</w:t>
      </w:r>
      <w:r w:rsidR="00B11AE3">
        <w:rPr>
          <w:rFonts w:hint="eastAsia"/>
        </w:rPr>
        <w:t>、調査及び制裁を確保するべく警察及び</w:t>
      </w:r>
      <w:r w:rsidR="0095462F">
        <w:rPr>
          <w:rFonts w:hint="eastAsia"/>
        </w:rPr>
        <w:t>司法当局に対する</w:t>
      </w:r>
      <w:r w:rsidR="00B11AE3">
        <w:rPr>
          <w:rFonts w:hint="eastAsia"/>
        </w:rPr>
        <w:t xml:space="preserve">研修を行うために、どのような方策が講じられるのか？　</w:t>
      </w:r>
    </w:p>
    <w:p w14:paraId="1FAF418E" w14:textId="489F54DF" w:rsidR="0095462F" w:rsidRPr="00B64BF7" w:rsidRDefault="0095462F" w:rsidP="0095462F">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17</w:t>
      </w:r>
      <w:r w:rsidRPr="00B64BF7">
        <w:rPr>
          <w:rFonts w:asciiTheme="majorEastAsia" w:eastAsiaTheme="majorEastAsia" w:hAnsiTheme="majorEastAsia" w:hint="eastAsia"/>
        </w:rPr>
        <w:t>条：個人をそのままの状態で保護すること</w:t>
      </w:r>
    </w:p>
    <w:p w14:paraId="50C1E4C0" w14:textId="73857829" w:rsidR="00C751F3" w:rsidRPr="00C751F3" w:rsidRDefault="00266FC7" w:rsidP="00C751F3">
      <w:pPr>
        <w:pStyle w:val="af0"/>
        <w:numPr>
          <w:ilvl w:val="0"/>
          <w:numId w:val="4"/>
        </w:numPr>
        <w:ind w:leftChars="0"/>
      </w:pPr>
      <w:r>
        <w:rPr>
          <w:rFonts w:hint="eastAsia"/>
        </w:rPr>
        <w:t>心理社会的障害のある人及び</w:t>
      </w:r>
      <w:r w:rsidR="00A2398B">
        <w:rPr>
          <w:rFonts w:hint="eastAsia"/>
        </w:rPr>
        <w:t>認知障害のある人のために、</w:t>
      </w:r>
      <w:r w:rsidR="002E0CDD">
        <w:rPr>
          <w:rFonts w:hint="eastAsia"/>
        </w:rPr>
        <w:t>市町村が</w:t>
      </w:r>
      <w:r w:rsidR="00A2398B">
        <w:rPr>
          <w:rFonts w:hint="eastAsia"/>
        </w:rPr>
        <w:t>施設に</w:t>
      </w:r>
      <w:r w:rsidR="00364B26">
        <w:rPr>
          <w:rFonts w:hint="eastAsia"/>
        </w:rPr>
        <w:t>類似し</w:t>
      </w:r>
      <w:r w:rsidR="00A2398B">
        <w:rPr>
          <w:rFonts w:hint="eastAsia"/>
        </w:rPr>
        <w:t>た</w:t>
      </w:r>
      <w:r w:rsidR="00B30128">
        <w:rPr>
          <w:rFonts w:hint="eastAsia"/>
        </w:rPr>
        <w:t>大規模な</w:t>
      </w:r>
      <w:r w:rsidR="002E0CDD">
        <w:rPr>
          <w:rFonts w:hint="eastAsia"/>
        </w:rPr>
        <w:t>ホーム</w:t>
      </w:r>
      <w:r w:rsidR="00A2398B">
        <w:rPr>
          <w:rFonts w:hint="eastAsia"/>
        </w:rPr>
        <w:t>を大々的に建設し、使用することは、個人がそのままの状態で保護される権利を制限するものである。</w:t>
      </w:r>
      <w:r w:rsidR="00C751F3">
        <w:rPr>
          <w:rFonts w:hint="eastAsia"/>
        </w:rPr>
        <w:t>そこでの</w:t>
      </w:r>
      <w:r w:rsidR="00723365">
        <w:rPr>
          <w:rFonts w:hint="eastAsia"/>
        </w:rPr>
        <w:t>日常生活は、</w:t>
      </w:r>
      <w:r w:rsidR="00A2398B">
        <w:rPr>
          <w:rFonts w:hint="eastAsia"/>
        </w:rPr>
        <w:t>週間計画や、就寝時刻</w:t>
      </w:r>
      <w:r w:rsidR="00723365">
        <w:rPr>
          <w:rFonts w:hint="eastAsia"/>
        </w:rPr>
        <w:t>及び</w:t>
      </w:r>
      <w:r w:rsidR="00C751F3">
        <w:rPr>
          <w:rFonts w:hint="eastAsia"/>
        </w:rPr>
        <w:t>外出</w:t>
      </w:r>
      <w:r w:rsidR="00A2398B">
        <w:rPr>
          <w:rFonts w:hint="eastAsia"/>
        </w:rPr>
        <w:t>に関する規則、飲食</w:t>
      </w:r>
      <w:r w:rsidR="00723365">
        <w:rPr>
          <w:rFonts w:hint="eastAsia"/>
        </w:rPr>
        <w:t>物及び買い物</w:t>
      </w:r>
      <w:r w:rsidR="00A2398B">
        <w:rPr>
          <w:rFonts w:hint="eastAsia"/>
        </w:rPr>
        <w:t>に関する制限</w:t>
      </w:r>
      <w:r w:rsidR="00723365">
        <w:rPr>
          <w:rFonts w:hint="eastAsia"/>
        </w:rPr>
        <w:t>など</w:t>
      </w:r>
      <w:r w:rsidR="00A2398B">
        <w:rPr>
          <w:rFonts w:hint="eastAsia"/>
        </w:rPr>
        <w:t>、</w:t>
      </w:r>
      <w:r w:rsidR="00723365">
        <w:rPr>
          <w:rFonts w:hint="eastAsia"/>
        </w:rPr>
        <w:t>柔軟性に欠ける仕組み</w:t>
      </w:r>
      <w:r w:rsidR="00B30128">
        <w:rPr>
          <w:rFonts w:hint="eastAsia"/>
        </w:rPr>
        <w:t>という</w:t>
      </w:r>
      <w:r w:rsidR="002E0CDD">
        <w:rPr>
          <w:rFonts w:hint="eastAsia"/>
        </w:rPr>
        <w:t>形を</w:t>
      </w:r>
      <w:r w:rsidR="00B30128">
        <w:rPr>
          <w:rFonts w:hint="eastAsia"/>
        </w:rPr>
        <w:t>とった</w:t>
      </w:r>
      <w:r w:rsidR="00723365">
        <w:rPr>
          <w:rFonts w:hint="eastAsia"/>
        </w:rPr>
        <w:t>強制力を特徴とする</w:t>
      </w:r>
      <w:r w:rsidR="00CA69B4">
        <w:rPr>
          <w:rFonts w:hint="eastAsia"/>
        </w:rPr>
        <w:t>ものとなる可能性がある</w:t>
      </w:r>
      <w:r w:rsidR="002E0CDD">
        <w:rPr>
          <w:rFonts w:hint="eastAsia"/>
        </w:rPr>
        <w:t>。</w:t>
      </w:r>
      <w:r w:rsidR="00C751F3" w:rsidRPr="00C751F3">
        <w:rPr>
          <w:rFonts w:hint="eastAsia"/>
        </w:rPr>
        <w:t>ホームで働く従業員の</w:t>
      </w:r>
      <w:r w:rsidR="00C751F3" w:rsidRPr="00C751F3">
        <w:rPr>
          <w:rFonts w:hint="eastAsia"/>
        </w:rPr>
        <w:t>85</w:t>
      </w:r>
      <w:r w:rsidR="00C751F3" w:rsidRPr="00C751F3">
        <w:rPr>
          <w:rFonts w:hint="eastAsia"/>
        </w:rPr>
        <w:t>パーセント以上が、</w:t>
      </w:r>
      <w:r w:rsidR="00B30128">
        <w:rPr>
          <w:rFonts w:hint="eastAsia"/>
        </w:rPr>
        <w:t>相反する</w:t>
      </w:r>
      <w:r w:rsidR="00C751F3" w:rsidRPr="00C751F3">
        <w:rPr>
          <w:rFonts w:hint="eastAsia"/>
        </w:rPr>
        <w:t>ニーズを持つ入居者にサービスを提供していると語った。</w:t>
      </w:r>
      <w:r w:rsidR="00C751F3">
        <w:rPr>
          <w:rStyle w:val="a8"/>
        </w:rPr>
        <w:endnoteReference w:id="70"/>
      </w:r>
      <w:r w:rsidR="00EA2AFD">
        <w:rPr>
          <w:rFonts w:hint="eastAsia"/>
        </w:rPr>
        <w:t>入居者が自立し、日常生活において自己決定をする</w:t>
      </w:r>
      <w:r w:rsidR="00C751F3">
        <w:rPr>
          <w:rFonts w:hint="eastAsia"/>
        </w:rPr>
        <w:t>権利</w:t>
      </w:r>
      <w:r w:rsidR="00EA2AFD">
        <w:rPr>
          <w:rFonts w:hint="eastAsia"/>
        </w:rPr>
        <w:t>は、従業員のシフトや、従業員が</w:t>
      </w:r>
      <w:r w:rsidR="00B11E2B">
        <w:rPr>
          <w:rFonts w:hint="eastAsia"/>
        </w:rPr>
        <w:t>決まった手順</w:t>
      </w:r>
      <w:r w:rsidR="00EA2AFD">
        <w:rPr>
          <w:rFonts w:hint="eastAsia"/>
        </w:rPr>
        <w:t>を守り、</w:t>
      </w:r>
      <w:r w:rsidR="00B11E2B">
        <w:rPr>
          <w:rFonts w:hint="eastAsia"/>
        </w:rPr>
        <w:t>主導権を握る</w:t>
      </w:r>
      <w:r w:rsidR="00EA2AFD">
        <w:rPr>
          <w:rFonts w:hint="eastAsia"/>
        </w:rPr>
        <w:t>必要</w:t>
      </w:r>
      <w:r w:rsidR="00B11E2B">
        <w:rPr>
          <w:rFonts w:hint="eastAsia"/>
        </w:rPr>
        <w:t>があることを理由に</w:t>
      </w:r>
      <w:r w:rsidR="00EA2AFD">
        <w:rPr>
          <w:rFonts w:hint="eastAsia"/>
        </w:rPr>
        <w:t>、</w:t>
      </w:r>
      <w:r>
        <w:rPr>
          <w:rFonts w:hint="eastAsia"/>
        </w:rPr>
        <w:t>多くの場合、断念せざるを得ない</w:t>
      </w:r>
      <w:r w:rsidR="00EA2AFD">
        <w:rPr>
          <w:rFonts w:hint="eastAsia"/>
        </w:rPr>
        <w:t>。</w:t>
      </w:r>
      <w:r w:rsidR="00EA2AFD">
        <w:rPr>
          <w:rStyle w:val="a8"/>
        </w:rPr>
        <w:endnoteReference w:id="71"/>
      </w:r>
    </w:p>
    <w:p w14:paraId="13F2BCB8" w14:textId="717C7AE1" w:rsidR="00F0228E" w:rsidRDefault="00F0228E" w:rsidP="00F0228E">
      <w:pPr>
        <w:pStyle w:val="af0"/>
        <w:numPr>
          <w:ilvl w:val="0"/>
          <w:numId w:val="4"/>
        </w:numPr>
        <w:ind w:leftChars="0"/>
      </w:pPr>
      <w:r>
        <w:rPr>
          <w:rFonts w:hint="eastAsia"/>
        </w:rPr>
        <w:t>向精神薬、特に効果が長続きする蓄積注射と</w:t>
      </w:r>
      <w:r w:rsidR="00C458F0">
        <w:rPr>
          <w:rFonts w:hint="eastAsia"/>
        </w:rPr>
        <w:t>、</w:t>
      </w:r>
      <w:r>
        <w:rPr>
          <w:rFonts w:hint="eastAsia"/>
        </w:rPr>
        <w:t>同意なしに施される</w:t>
      </w:r>
      <w:r>
        <w:rPr>
          <w:rFonts w:hint="eastAsia"/>
        </w:rPr>
        <w:t>ECT</w:t>
      </w:r>
      <w:r>
        <w:rPr>
          <w:rFonts w:hint="eastAsia"/>
        </w:rPr>
        <w:t>は、心理社会的障害のある人の</w:t>
      </w:r>
      <w:r w:rsidR="00C458F0">
        <w:rPr>
          <w:rFonts w:hint="eastAsia"/>
        </w:rPr>
        <w:t>、</w:t>
      </w:r>
      <w:r w:rsidR="00364B26">
        <w:rPr>
          <w:rFonts w:hint="eastAsia"/>
        </w:rPr>
        <w:t>心身がそのままの状態で尊重される</w:t>
      </w:r>
      <w:r>
        <w:rPr>
          <w:rFonts w:hint="eastAsia"/>
        </w:rPr>
        <w:t>権利を侵害する</w:t>
      </w:r>
      <w:r w:rsidR="001467B3">
        <w:rPr>
          <w:rFonts w:hint="eastAsia"/>
        </w:rPr>
        <w:t>ことになる</w:t>
      </w:r>
      <w:r>
        <w:rPr>
          <w:rFonts w:hint="eastAsia"/>
        </w:rPr>
        <w:t>、侵襲的</w:t>
      </w:r>
      <w:r w:rsidR="00C458F0">
        <w:rPr>
          <w:rFonts w:hint="eastAsia"/>
        </w:rPr>
        <w:t>な、</w:t>
      </w:r>
      <w:r w:rsidR="001467B3">
        <w:rPr>
          <w:rFonts w:hint="eastAsia"/>
        </w:rPr>
        <w:t>かつ</w:t>
      </w:r>
      <w:r w:rsidR="00C458F0">
        <w:rPr>
          <w:rFonts w:hint="eastAsia"/>
        </w:rPr>
        <w:t>、</w:t>
      </w:r>
      <w:r>
        <w:rPr>
          <w:rFonts w:hint="eastAsia"/>
        </w:rPr>
        <w:t>不可逆的な可能性</w:t>
      </w:r>
      <w:r w:rsidR="001467B3">
        <w:rPr>
          <w:rFonts w:hint="eastAsia"/>
        </w:rPr>
        <w:t>の</w:t>
      </w:r>
      <w:r>
        <w:rPr>
          <w:rFonts w:hint="eastAsia"/>
        </w:rPr>
        <w:t>ある拘束である。施設もまた、</w:t>
      </w:r>
      <w:r w:rsidR="00ED1907">
        <w:rPr>
          <w:rFonts w:hint="eastAsia"/>
        </w:rPr>
        <w:t>施設内の共有環境における</w:t>
      </w:r>
      <w:r>
        <w:rPr>
          <w:rFonts w:hint="eastAsia"/>
        </w:rPr>
        <w:t>活動を制限するために</w:t>
      </w:r>
      <w:r w:rsidR="00ED1907">
        <w:rPr>
          <w:rFonts w:hint="eastAsia"/>
        </w:rPr>
        <w:t>、</w:t>
      </w:r>
      <w:r w:rsidR="00AE1BDF">
        <w:rPr>
          <w:rFonts w:hint="eastAsia"/>
        </w:rPr>
        <w:t>あるいは</w:t>
      </w:r>
      <w:r w:rsidR="00ED1907">
        <w:rPr>
          <w:rFonts w:hint="eastAsia"/>
        </w:rPr>
        <w:t>、他者との接触を全面的又は部分的に</w:t>
      </w:r>
      <w:r w:rsidR="00C07C7D">
        <w:rPr>
          <w:rFonts w:hint="eastAsia"/>
        </w:rPr>
        <w:t>遮断する</w:t>
      </w:r>
      <w:r w:rsidR="00ED1907">
        <w:rPr>
          <w:rFonts w:hint="eastAsia"/>
        </w:rPr>
        <w:t>ために、</w:t>
      </w:r>
      <w:r>
        <w:rPr>
          <w:rFonts w:hint="eastAsia"/>
        </w:rPr>
        <w:t>「</w:t>
      </w:r>
      <w:r w:rsidR="00C07C7D" w:rsidRPr="00C07C7D">
        <w:rPr>
          <w:rFonts w:hint="eastAsia"/>
          <w:i/>
        </w:rPr>
        <w:t>シールディング</w:t>
      </w:r>
      <w:r>
        <w:rPr>
          <w:rFonts w:hint="eastAsia"/>
        </w:rPr>
        <w:t>」</w:t>
      </w:r>
      <w:r w:rsidR="00181CF5" w:rsidRPr="000B078E">
        <w:rPr>
          <w:rFonts w:hint="eastAsia"/>
          <w:color w:val="FF0000"/>
        </w:rPr>
        <w:t>〔訳注：ノルウェーにおける隔離・行動制限の手法</w:t>
      </w:r>
      <w:r w:rsidR="00596DAB">
        <w:rPr>
          <w:rFonts w:hint="eastAsia"/>
          <w:color w:val="FF0000"/>
        </w:rPr>
        <w:t>？</w:t>
      </w:r>
      <w:r w:rsidR="00181CF5" w:rsidRPr="000B078E">
        <w:rPr>
          <w:rFonts w:hint="eastAsia"/>
          <w:color w:val="FF0000"/>
        </w:rPr>
        <w:t>〕</w:t>
      </w:r>
      <w:r>
        <w:rPr>
          <w:rFonts w:hint="eastAsia"/>
        </w:rPr>
        <w:t>を</w:t>
      </w:r>
      <w:r w:rsidR="00181CF5" w:rsidRPr="00181CF5">
        <w:rPr>
          <w:rFonts w:hint="eastAsia"/>
          <w:color w:val="FF0000"/>
        </w:rPr>
        <w:t>実施</w:t>
      </w:r>
      <w:r>
        <w:rPr>
          <w:rFonts w:hint="eastAsia"/>
        </w:rPr>
        <w:t>して</w:t>
      </w:r>
      <w:r w:rsidR="00ED1907">
        <w:rPr>
          <w:rFonts w:hint="eastAsia"/>
        </w:rPr>
        <w:t>おり、その結果</w:t>
      </w:r>
      <w:r w:rsidR="00C07C7D">
        <w:rPr>
          <w:rFonts w:hint="eastAsia"/>
        </w:rPr>
        <w:t>、しばしば</w:t>
      </w:r>
      <w:r w:rsidR="00ED1907">
        <w:rPr>
          <w:rFonts w:hint="eastAsia"/>
        </w:rPr>
        <w:t>孤立に似た状況が</w:t>
      </w:r>
      <w:r w:rsidR="00C07C7D">
        <w:rPr>
          <w:rFonts w:hint="eastAsia"/>
        </w:rPr>
        <w:t>生じ</w:t>
      </w:r>
      <w:r w:rsidR="00ED1907">
        <w:rPr>
          <w:rFonts w:hint="eastAsia"/>
        </w:rPr>
        <w:t>る</w:t>
      </w:r>
      <w:r>
        <w:rPr>
          <w:rFonts w:hint="eastAsia"/>
        </w:rPr>
        <w:t>。</w:t>
      </w:r>
      <w:r w:rsidR="00C07C7D">
        <w:rPr>
          <w:rStyle w:val="a8"/>
        </w:rPr>
        <w:endnoteReference w:id="72"/>
      </w:r>
      <w:r w:rsidR="001467B3">
        <w:rPr>
          <w:rFonts w:hint="eastAsia"/>
        </w:rPr>
        <w:t>シールディングは通常、電話の使用制限及び外界との接触</w:t>
      </w:r>
      <w:r w:rsidR="00C07C7D">
        <w:rPr>
          <w:rFonts w:hint="eastAsia"/>
        </w:rPr>
        <w:t>制限</w:t>
      </w:r>
      <w:r w:rsidR="00EA40C8">
        <w:rPr>
          <w:rFonts w:hint="eastAsia"/>
        </w:rPr>
        <w:t>を伴う</w:t>
      </w:r>
      <w:r w:rsidR="00C07C7D">
        <w:rPr>
          <w:rFonts w:hint="eastAsia"/>
        </w:rPr>
        <w:t>。患者が自分の音楽機器、ラジオ、テレビその他の通信手段</w:t>
      </w:r>
      <w:r w:rsidR="001467B3">
        <w:rPr>
          <w:rFonts w:hint="eastAsia"/>
        </w:rPr>
        <w:t>にアクセスすることは</w:t>
      </w:r>
      <w:r w:rsidR="00C07C7D">
        <w:rPr>
          <w:rFonts w:hint="eastAsia"/>
        </w:rPr>
        <w:t>許されない。精神科救急病棟に入院している患者の</w:t>
      </w:r>
      <w:r w:rsidR="00C07C7D">
        <w:rPr>
          <w:rFonts w:hint="eastAsia"/>
        </w:rPr>
        <w:t>20</w:t>
      </w:r>
      <w:r w:rsidR="00C07C7D">
        <w:rPr>
          <w:rFonts w:hint="eastAsia"/>
        </w:rPr>
        <w:t>～</w:t>
      </w:r>
      <w:r w:rsidR="00C07C7D">
        <w:rPr>
          <w:rFonts w:hint="eastAsia"/>
        </w:rPr>
        <w:t>35</w:t>
      </w:r>
      <w:r w:rsidR="00C07C7D">
        <w:rPr>
          <w:rFonts w:hint="eastAsia"/>
        </w:rPr>
        <w:t>パーセント</w:t>
      </w:r>
      <w:r w:rsidR="00EA40C8">
        <w:rPr>
          <w:rFonts w:hint="eastAsia"/>
        </w:rPr>
        <w:t>が</w:t>
      </w:r>
      <w:r w:rsidR="00181CF5" w:rsidRPr="00181CF5">
        <w:rPr>
          <w:rFonts w:hint="eastAsia"/>
          <w:color w:val="FF0000"/>
        </w:rPr>
        <w:t>シールディングを実施</w:t>
      </w:r>
      <w:r w:rsidR="00C07C7D">
        <w:rPr>
          <w:rFonts w:hint="eastAsia"/>
        </w:rPr>
        <w:t>されている。</w:t>
      </w:r>
      <w:r w:rsidR="00EA40C8">
        <w:rPr>
          <w:rStyle w:val="a8"/>
        </w:rPr>
        <w:endnoteReference w:id="73"/>
      </w:r>
    </w:p>
    <w:p w14:paraId="0F3CBBC6" w14:textId="5D7C5A57" w:rsidR="00F0228E" w:rsidRDefault="008A56E2" w:rsidP="00F0228E">
      <w:pPr>
        <w:pStyle w:val="af0"/>
        <w:numPr>
          <w:ilvl w:val="0"/>
          <w:numId w:val="4"/>
        </w:numPr>
        <w:ind w:leftChars="0"/>
      </w:pPr>
      <w:r>
        <w:rPr>
          <w:rFonts w:hint="eastAsia"/>
        </w:rPr>
        <w:t>後見人は</w:t>
      </w:r>
      <w:r w:rsidR="000B0F79">
        <w:rPr>
          <w:rFonts w:hint="eastAsia"/>
        </w:rPr>
        <w:t>、</w:t>
      </w:r>
      <w:r>
        <w:rPr>
          <w:rFonts w:hint="eastAsia"/>
        </w:rPr>
        <w:t>「手続に関して事情を知らされた上での決定を下すことを妨げる深刻な精神病又は知的障害又は精神機能障害」のある人の代わりに</w:t>
      </w:r>
      <w:r w:rsidR="000B0F79">
        <w:rPr>
          <w:rFonts w:hint="eastAsia"/>
        </w:rPr>
        <w:t>、</w:t>
      </w:r>
      <w:r>
        <w:rPr>
          <w:rFonts w:hint="eastAsia"/>
        </w:rPr>
        <w:t>不妊手術を申し込むことができる。</w:t>
      </w:r>
      <w:r w:rsidR="006D5A48">
        <w:rPr>
          <w:rStyle w:val="a8"/>
        </w:rPr>
        <w:endnoteReference w:id="74"/>
      </w:r>
      <w:r w:rsidR="00EA511F">
        <w:rPr>
          <w:rFonts w:hint="eastAsia"/>
        </w:rPr>
        <w:t>後見人</w:t>
      </w:r>
      <w:r w:rsidR="000B0F79">
        <w:rPr>
          <w:rFonts w:hint="eastAsia"/>
        </w:rPr>
        <w:t>はまた、女性に「深刻な精神病又は重度発達障害」がある場合、中絶</w:t>
      </w:r>
      <w:r w:rsidR="00EA511F">
        <w:rPr>
          <w:rFonts w:hint="eastAsia"/>
        </w:rPr>
        <w:t>依頼を提出することもできる。</w:t>
      </w:r>
      <w:r w:rsidR="00EA511F">
        <w:rPr>
          <w:rStyle w:val="a8"/>
        </w:rPr>
        <w:endnoteReference w:id="75"/>
      </w:r>
      <w:r w:rsidR="008C12F0">
        <w:rPr>
          <w:rFonts w:hint="eastAsia"/>
        </w:rPr>
        <w:t>後見人がいる人は、結婚</w:t>
      </w:r>
      <w:r w:rsidR="0088689B">
        <w:rPr>
          <w:rFonts w:hint="eastAsia"/>
        </w:rPr>
        <w:t>に対する</w:t>
      </w:r>
      <w:r w:rsidR="005F16BA">
        <w:rPr>
          <w:rFonts w:hint="eastAsia"/>
        </w:rPr>
        <w:t>同意が後見人の職務に該当する場合、結婚</w:t>
      </w:r>
      <w:r w:rsidR="0088689B">
        <w:rPr>
          <w:rFonts w:hint="eastAsia"/>
        </w:rPr>
        <w:t>を</w:t>
      </w:r>
      <w:r w:rsidR="005F16BA">
        <w:rPr>
          <w:rFonts w:hint="eastAsia"/>
        </w:rPr>
        <w:t>後見人の同意</w:t>
      </w:r>
      <w:r w:rsidR="008C12F0">
        <w:rPr>
          <w:rFonts w:hint="eastAsia"/>
        </w:rPr>
        <w:t>に</w:t>
      </w:r>
      <w:r w:rsidR="005F16BA">
        <w:rPr>
          <w:rFonts w:hint="eastAsia"/>
        </w:rPr>
        <w:t>よって</w:t>
      </w:r>
      <w:r w:rsidR="00C458F0">
        <w:rPr>
          <w:rFonts w:hint="eastAsia"/>
        </w:rPr>
        <w:t>決定す</w:t>
      </w:r>
      <w:r w:rsidR="005F16BA">
        <w:rPr>
          <w:rFonts w:hint="eastAsia"/>
        </w:rPr>
        <w:t>る</w:t>
      </w:r>
      <w:r w:rsidR="008C12F0">
        <w:rPr>
          <w:rFonts w:hint="eastAsia"/>
        </w:rPr>
        <w:t>。</w:t>
      </w:r>
      <w:r w:rsidR="0088689B">
        <w:rPr>
          <w:rStyle w:val="a8"/>
        </w:rPr>
        <w:endnoteReference w:id="76"/>
      </w:r>
    </w:p>
    <w:p w14:paraId="641C031F" w14:textId="5DF1133C" w:rsidR="0088689B" w:rsidRDefault="0088689B" w:rsidP="0088689B">
      <w:pPr>
        <w:pStyle w:val="af0"/>
        <w:numPr>
          <w:ilvl w:val="1"/>
          <w:numId w:val="3"/>
        </w:numPr>
        <w:ind w:leftChars="0"/>
      </w:pPr>
      <w:r>
        <w:rPr>
          <w:rFonts w:hint="eastAsia"/>
        </w:rPr>
        <w:t>施設及び施設に類似した大規模なホームで生活している人の</w:t>
      </w:r>
      <w:r w:rsidR="00364B26">
        <w:rPr>
          <w:rFonts w:hint="eastAsia"/>
        </w:rPr>
        <w:t>心身がそのままの状態で尊重されること</w:t>
      </w:r>
      <w:r>
        <w:rPr>
          <w:rFonts w:hint="eastAsia"/>
        </w:rPr>
        <w:t>を確保するために、どのような方策が講じられるのか？</w:t>
      </w:r>
    </w:p>
    <w:p w14:paraId="042057CD" w14:textId="651477B8" w:rsidR="00ED2407" w:rsidRDefault="00ED2407" w:rsidP="0088689B">
      <w:pPr>
        <w:pStyle w:val="af0"/>
        <w:numPr>
          <w:ilvl w:val="1"/>
          <w:numId w:val="3"/>
        </w:numPr>
        <w:ind w:leftChars="0"/>
      </w:pPr>
      <w:r>
        <w:rPr>
          <w:rFonts w:hint="eastAsia"/>
        </w:rPr>
        <w:t>精神科のケアのために入院している人の</w:t>
      </w:r>
      <w:r w:rsidR="00364B26">
        <w:rPr>
          <w:rFonts w:hint="eastAsia"/>
        </w:rPr>
        <w:t>心身</w:t>
      </w:r>
      <w:r>
        <w:rPr>
          <w:rFonts w:hint="eastAsia"/>
        </w:rPr>
        <w:t>が</w:t>
      </w:r>
      <w:r w:rsidR="000B0F79">
        <w:rPr>
          <w:rFonts w:hint="eastAsia"/>
        </w:rPr>
        <w:t>、</w:t>
      </w:r>
      <w:r>
        <w:rPr>
          <w:rFonts w:hint="eastAsia"/>
        </w:rPr>
        <w:t>常に</w:t>
      </w:r>
      <w:r w:rsidR="00364B26">
        <w:rPr>
          <w:rFonts w:hint="eastAsia"/>
        </w:rPr>
        <w:t>そのままの状態で</w:t>
      </w:r>
      <w:r>
        <w:rPr>
          <w:rFonts w:hint="eastAsia"/>
        </w:rPr>
        <w:t>尊重されること、また、彼らの外界との意思疎通の権利が決して否定されないことを確保するために</w:t>
      </w:r>
      <w:r w:rsidR="000B0F79">
        <w:rPr>
          <w:rFonts w:hint="eastAsia"/>
        </w:rPr>
        <w:t>、</w:t>
      </w:r>
      <w:r>
        <w:rPr>
          <w:rFonts w:hint="eastAsia"/>
        </w:rPr>
        <w:t>どのような措置が講じられるのか？</w:t>
      </w:r>
    </w:p>
    <w:p w14:paraId="66585F9D" w14:textId="5B335547" w:rsidR="00ED2407" w:rsidRDefault="00ED2407" w:rsidP="0088689B">
      <w:pPr>
        <w:pStyle w:val="af0"/>
        <w:numPr>
          <w:ilvl w:val="1"/>
          <w:numId w:val="3"/>
        </w:numPr>
        <w:ind w:leftChars="0"/>
      </w:pPr>
      <w:r>
        <w:rPr>
          <w:rFonts w:hint="eastAsia"/>
        </w:rPr>
        <w:t>障害のある人の中絶又は不妊手術のような強制介入を許容する法律</w:t>
      </w:r>
      <w:r w:rsidR="00AE1BDF">
        <w:rPr>
          <w:rFonts w:hint="eastAsia"/>
        </w:rPr>
        <w:t>と</w:t>
      </w:r>
      <w:r>
        <w:rPr>
          <w:rFonts w:hint="eastAsia"/>
        </w:rPr>
        <w:t>、結婚に対する後見人の同意を義務付ける法令を撤廃するために</w:t>
      </w:r>
      <w:r w:rsidR="000B0F79">
        <w:rPr>
          <w:rFonts w:hint="eastAsia"/>
        </w:rPr>
        <w:t>、</w:t>
      </w:r>
      <w:r>
        <w:rPr>
          <w:rFonts w:hint="eastAsia"/>
        </w:rPr>
        <w:t>どのような措置が講じられるのか？</w:t>
      </w:r>
    </w:p>
    <w:p w14:paraId="725E2267" w14:textId="1CC838EE" w:rsidR="0022763E" w:rsidRPr="00B64BF7" w:rsidRDefault="00D87B7A" w:rsidP="0022763E">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19</w:t>
      </w:r>
      <w:r w:rsidRPr="00B64BF7">
        <w:rPr>
          <w:rFonts w:asciiTheme="majorEastAsia" w:eastAsiaTheme="majorEastAsia" w:hAnsiTheme="majorEastAsia" w:hint="eastAsia"/>
        </w:rPr>
        <w:t>条：自立した生活及び地域社会への包容</w:t>
      </w:r>
    </w:p>
    <w:p w14:paraId="5932DC5D" w14:textId="488F29FC" w:rsidR="00F0228E" w:rsidRDefault="009A7980" w:rsidP="00F0228E">
      <w:pPr>
        <w:pStyle w:val="af0"/>
        <w:numPr>
          <w:ilvl w:val="0"/>
          <w:numId w:val="4"/>
        </w:numPr>
        <w:ind w:leftChars="0"/>
      </w:pPr>
      <w:r>
        <w:rPr>
          <w:rFonts w:hint="eastAsia"/>
        </w:rPr>
        <w:t>障害のある人が適切な住宅を獲得できるよう支援する市町村の義務が</w:t>
      </w:r>
      <w:r w:rsidR="00827B44">
        <w:rPr>
          <w:rFonts w:hint="eastAsia"/>
        </w:rPr>
        <w:t>、</w:t>
      </w:r>
      <w:r w:rsidR="00D87B7A">
        <w:rPr>
          <w:rFonts w:hint="eastAsia"/>
        </w:rPr>
        <w:t>あまりに弱い。</w:t>
      </w:r>
      <w:r w:rsidR="00D87B7A">
        <w:rPr>
          <w:rStyle w:val="a8"/>
        </w:rPr>
        <w:endnoteReference w:id="77"/>
      </w:r>
    </w:p>
    <w:p w14:paraId="5970E46A" w14:textId="6D30C5DD" w:rsidR="00D87B7A" w:rsidRDefault="00D87B7A" w:rsidP="00827B44">
      <w:pPr>
        <w:pStyle w:val="af0"/>
        <w:numPr>
          <w:ilvl w:val="0"/>
          <w:numId w:val="4"/>
        </w:numPr>
        <w:ind w:leftChars="0"/>
      </w:pPr>
      <w:r>
        <w:rPr>
          <w:rFonts w:hint="eastAsia"/>
        </w:rPr>
        <w:t>障害のある人は、居住形態に関</w:t>
      </w:r>
      <w:r w:rsidR="006911EB">
        <w:rPr>
          <w:rFonts w:hint="eastAsia"/>
        </w:rPr>
        <w:t>しては</w:t>
      </w:r>
      <w:r>
        <w:rPr>
          <w:rFonts w:hint="eastAsia"/>
        </w:rPr>
        <w:t>自己決定が</w:t>
      </w:r>
      <w:r w:rsidR="009F2DFF">
        <w:rPr>
          <w:rFonts w:hint="eastAsia"/>
        </w:rPr>
        <w:t>保証されて</w:t>
      </w:r>
      <w:r w:rsidR="00575AE0">
        <w:rPr>
          <w:rFonts w:hint="eastAsia"/>
        </w:rPr>
        <w:t>お</w:t>
      </w:r>
      <w:r w:rsidR="00827B44">
        <w:rPr>
          <w:rFonts w:hint="eastAsia"/>
        </w:rPr>
        <w:t>らず、</w:t>
      </w:r>
      <w:r w:rsidR="009F2DFF">
        <w:rPr>
          <w:rFonts w:hint="eastAsia"/>
        </w:rPr>
        <w:t>市町村のサービスを受けるためにはどのような生活をするべきかを</w:t>
      </w:r>
      <w:r w:rsidR="00827B44">
        <w:rPr>
          <w:rFonts w:hint="eastAsia"/>
        </w:rPr>
        <w:t>、市町村が</w:t>
      </w:r>
      <w:r w:rsidR="009F2DFF">
        <w:rPr>
          <w:rFonts w:hint="eastAsia"/>
        </w:rPr>
        <w:t>提示する</w:t>
      </w:r>
      <w:r w:rsidR="00827B44">
        <w:rPr>
          <w:rFonts w:hint="eastAsia"/>
        </w:rPr>
        <w:t>ことが多い</w:t>
      </w:r>
      <w:r w:rsidR="009F2DFF">
        <w:rPr>
          <w:rFonts w:hint="eastAsia"/>
        </w:rPr>
        <w:t>。</w:t>
      </w:r>
      <w:r w:rsidR="009F2DFF">
        <w:rPr>
          <w:rStyle w:val="a8"/>
        </w:rPr>
        <w:endnoteReference w:id="78"/>
      </w:r>
      <w:r w:rsidR="00E156DA">
        <w:rPr>
          <w:rFonts w:hint="eastAsia"/>
        </w:rPr>
        <w:t>報奨金を理由に、施設に類似した大規模な建物が、市町村のサービスを必要としているさまざまなグループのための</w:t>
      </w:r>
      <w:r w:rsidR="002C6E32">
        <w:rPr>
          <w:rFonts w:hint="eastAsia"/>
        </w:rPr>
        <w:t>シェアハウス</w:t>
      </w:r>
      <w:r w:rsidR="00E156DA">
        <w:rPr>
          <w:rFonts w:hint="eastAsia"/>
        </w:rPr>
        <w:t>として提供されており、</w:t>
      </w:r>
      <w:r w:rsidR="009A7980">
        <w:rPr>
          <w:rFonts w:hint="eastAsia"/>
        </w:rPr>
        <w:t>多くの場合、</w:t>
      </w:r>
      <w:r w:rsidR="00E156DA">
        <w:rPr>
          <w:rFonts w:hint="eastAsia"/>
        </w:rPr>
        <w:t>これらは高齢者向けの老人ホームに似ている。</w:t>
      </w:r>
      <w:r w:rsidR="00A26BEC">
        <w:rPr>
          <w:rFonts w:hint="eastAsia"/>
        </w:rPr>
        <w:t>第</w:t>
      </w:r>
      <w:r w:rsidR="00A26BEC">
        <w:rPr>
          <w:rFonts w:hint="eastAsia"/>
        </w:rPr>
        <w:t>17</w:t>
      </w:r>
      <w:r w:rsidR="00A26BEC">
        <w:rPr>
          <w:rFonts w:hint="eastAsia"/>
        </w:rPr>
        <w:t>条も参照。</w:t>
      </w:r>
    </w:p>
    <w:p w14:paraId="40E892C9" w14:textId="55BAD91B" w:rsidR="00A26BEC" w:rsidRDefault="002C6E32" w:rsidP="00F0228E">
      <w:pPr>
        <w:pStyle w:val="af0"/>
        <w:numPr>
          <w:ilvl w:val="0"/>
          <w:numId w:val="4"/>
        </w:numPr>
        <w:ind w:leftChars="0"/>
      </w:pPr>
      <w:r>
        <w:rPr>
          <w:rFonts w:hint="eastAsia"/>
        </w:rPr>
        <w:t>1990</w:t>
      </w:r>
      <w:r>
        <w:rPr>
          <w:rFonts w:hint="eastAsia"/>
        </w:rPr>
        <w:t>年代初めの脱施設化改革により、知的障害のある人は大規模な地域施設を出て市町村で生活することになった。しかし、</w:t>
      </w:r>
      <w:r w:rsidR="008E4A58">
        <w:rPr>
          <w:rFonts w:hint="eastAsia"/>
        </w:rPr>
        <w:t>2000</w:t>
      </w:r>
      <w:r w:rsidR="00ED6158">
        <w:rPr>
          <w:rFonts w:hint="eastAsia"/>
        </w:rPr>
        <w:t>年以降</w:t>
      </w:r>
      <w:r>
        <w:rPr>
          <w:rFonts w:hint="eastAsia"/>
        </w:rPr>
        <w:t>市町村では、知的障害のある人向けのシェアハウスが主要な居住形態となっている。</w:t>
      </w:r>
      <w:r w:rsidR="008E4A58">
        <w:rPr>
          <w:rFonts w:hint="eastAsia"/>
        </w:rPr>
        <w:t>共有スペースと</w:t>
      </w:r>
      <w:r w:rsidR="006911EB">
        <w:rPr>
          <w:rFonts w:hint="eastAsia"/>
        </w:rPr>
        <w:t>日中活動のための設備</w:t>
      </w:r>
      <w:r w:rsidR="008E4A58">
        <w:rPr>
          <w:rFonts w:hint="eastAsia"/>
        </w:rPr>
        <w:t>を備えた大規模なシェアハウス</w:t>
      </w:r>
      <w:r w:rsidR="00ED6158">
        <w:rPr>
          <w:rFonts w:hint="eastAsia"/>
        </w:rPr>
        <w:t>型</w:t>
      </w:r>
      <w:r w:rsidR="008E4A58">
        <w:rPr>
          <w:rFonts w:hint="eastAsia"/>
        </w:rPr>
        <w:t>施設で生活している知的障害のある人の割合は、増加している。</w:t>
      </w:r>
      <w:r w:rsidR="008E4A58">
        <w:rPr>
          <w:rFonts w:hint="eastAsia"/>
        </w:rPr>
        <w:t>2000</w:t>
      </w:r>
      <w:r w:rsidR="008E4A58">
        <w:rPr>
          <w:rFonts w:hint="eastAsia"/>
        </w:rPr>
        <w:t>年以降居所を移した</w:t>
      </w:r>
      <w:r w:rsidR="00427DA5">
        <w:rPr>
          <w:rFonts w:hint="eastAsia"/>
        </w:rPr>
        <w:t>人</w:t>
      </w:r>
      <w:r w:rsidR="008E4A58">
        <w:rPr>
          <w:rFonts w:hint="eastAsia"/>
        </w:rPr>
        <w:t>の半数以上が、入居者</w:t>
      </w:r>
      <w:r w:rsidR="008E4A58">
        <w:rPr>
          <w:rFonts w:hint="eastAsia"/>
        </w:rPr>
        <w:t>6</w:t>
      </w:r>
      <w:r w:rsidR="008E4A58">
        <w:rPr>
          <w:rFonts w:hint="eastAsia"/>
        </w:rPr>
        <w:t>人以上のシェアハウスに移っていた。</w:t>
      </w:r>
      <w:r w:rsidR="008E4A58">
        <w:rPr>
          <w:rStyle w:val="a8"/>
        </w:rPr>
        <w:endnoteReference w:id="79"/>
      </w:r>
    </w:p>
    <w:p w14:paraId="51E28434" w14:textId="2A02D92E" w:rsidR="008E4A58" w:rsidRDefault="00AD1CF5" w:rsidP="00F0228E">
      <w:pPr>
        <w:pStyle w:val="af0"/>
        <w:numPr>
          <w:ilvl w:val="0"/>
          <w:numId w:val="4"/>
        </w:numPr>
        <w:ind w:leftChars="0"/>
      </w:pPr>
      <w:r>
        <w:rPr>
          <w:rFonts w:hint="eastAsia"/>
        </w:rPr>
        <w:t>保健・ケア</w:t>
      </w:r>
      <w:r w:rsidR="00AC121C">
        <w:rPr>
          <w:rFonts w:hint="eastAsia"/>
        </w:rPr>
        <w:t>サービス法には、自立した日常生活活動</w:t>
      </w:r>
      <w:r w:rsidR="00575AE0">
        <w:rPr>
          <w:rFonts w:hint="eastAsia"/>
        </w:rPr>
        <w:t>と</w:t>
      </w:r>
      <w:r w:rsidR="00AC121C">
        <w:rPr>
          <w:rFonts w:hint="eastAsia"/>
        </w:rPr>
        <w:t>参加を</w:t>
      </w:r>
      <w:r w:rsidR="00575AE0">
        <w:rPr>
          <w:rFonts w:hint="eastAsia"/>
        </w:rPr>
        <w:t>確保</w:t>
      </w:r>
      <w:r w:rsidR="00AC121C">
        <w:rPr>
          <w:rFonts w:hint="eastAsia"/>
        </w:rPr>
        <w:t>するためのサービスを</w:t>
      </w:r>
      <w:r w:rsidR="008668EB">
        <w:rPr>
          <w:rFonts w:hint="eastAsia"/>
        </w:rPr>
        <w:t>、</w:t>
      </w:r>
      <w:r w:rsidR="00AC121C">
        <w:rPr>
          <w:rFonts w:hint="eastAsia"/>
        </w:rPr>
        <w:t>市町村が提供しなければならないと明記されている。</w:t>
      </w:r>
      <w:r w:rsidR="00AC121C">
        <w:rPr>
          <w:rStyle w:val="a8"/>
        </w:rPr>
        <w:endnoteReference w:id="80"/>
      </w:r>
      <w:r w:rsidR="00575AE0">
        <w:rPr>
          <w:rFonts w:hint="eastAsia"/>
        </w:rPr>
        <w:t>市町村自治が原因で、これらのサービスの管理</w:t>
      </w:r>
      <w:r w:rsidR="00026E58">
        <w:rPr>
          <w:rFonts w:hint="eastAsia"/>
        </w:rPr>
        <w:t>と</w:t>
      </w:r>
      <w:r w:rsidR="00575AE0">
        <w:rPr>
          <w:rFonts w:hint="eastAsia"/>
        </w:rPr>
        <w:t>提供に大きなばらつきが見られる。</w:t>
      </w:r>
      <w:r w:rsidR="00575AE0">
        <w:rPr>
          <w:rStyle w:val="a8"/>
        </w:rPr>
        <w:endnoteReference w:id="81"/>
      </w:r>
    </w:p>
    <w:p w14:paraId="077008AE" w14:textId="31DC5835" w:rsidR="00CA3DDE" w:rsidRDefault="0017619F" w:rsidP="00AA2B6F">
      <w:pPr>
        <w:pStyle w:val="af0"/>
        <w:numPr>
          <w:ilvl w:val="0"/>
          <w:numId w:val="4"/>
        </w:numPr>
        <w:ind w:leftChars="0"/>
      </w:pPr>
      <w:r>
        <w:rPr>
          <w:rFonts w:hint="eastAsia"/>
        </w:rPr>
        <w:t>市町村によるパーソナルアシスタンスは、利用者管理型</w:t>
      </w:r>
      <w:r w:rsidR="00AA2B6F">
        <w:rPr>
          <w:rFonts w:hint="eastAsia"/>
        </w:rPr>
        <w:t>の</w:t>
      </w:r>
      <w:r>
        <w:rPr>
          <w:rFonts w:hint="eastAsia"/>
        </w:rPr>
        <w:t>パーソナルアシスタンス（</w:t>
      </w:r>
      <w:r>
        <w:rPr>
          <w:rFonts w:hint="eastAsia"/>
        </w:rPr>
        <w:t>UPA</w:t>
      </w:r>
      <w:r>
        <w:rPr>
          <w:rFonts w:hint="eastAsia"/>
        </w:rPr>
        <w:t>）</w:t>
      </w:r>
      <w:r w:rsidR="008668EB">
        <w:rPr>
          <w:rFonts w:hint="eastAsia"/>
        </w:rPr>
        <w:t>、つまり、障害のある人自身</w:t>
      </w:r>
      <w:r>
        <w:rPr>
          <w:rFonts w:hint="eastAsia"/>
        </w:rPr>
        <w:t>若しくは必要に応じて彼らの代理人によって</w:t>
      </w:r>
      <w:r w:rsidR="008668EB">
        <w:rPr>
          <w:rFonts w:hint="eastAsia"/>
        </w:rPr>
        <w:t>、</w:t>
      </w:r>
      <w:r>
        <w:rPr>
          <w:rFonts w:hint="eastAsia"/>
        </w:rPr>
        <w:t>計画され、主導されるアシスタンス</w:t>
      </w:r>
      <w:r w:rsidR="00AA2B6F">
        <w:rPr>
          <w:rFonts w:hint="eastAsia"/>
        </w:rPr>
        <w:t>として運営される。</w:t>
      </w:r>
      <w:r w:rsidR="000221DE">
        <w:rPr>
          <w:rFonts w:hint="eastAsia"/>
        </w:rPr>
        <w:t>このようなパーソナルアシスタンス</w:t>
      </w:r>
      <w:r w:rsidR="00AA2B6F">
        <w:rPr>
          <w:rFonts w:hint="eastAsia"/>
        </w:rPr>
        <w:t>制度を選択する権利は</w:t>
      </w:r>
      <w:r>
        <w:rPr>
          <w:rFonts w:hint="eastAsia"/>
        </w:rPr>
        <w:t>2015</w:t>
      </w:r>
      <w:r w:rsidR="00AA2B6F">
        <w:rPr>
          <w:rFonts w:hint="eastAsia"/>
        </w:rPr>
        <w:t>年に制定されたが、多くのグループが</w:t>
      </w:r>
      <w:r>
        <w:rPr>
          <w:rFonts w:hint="eastAsia"/>
        </w:rPr>
        <w:t>UPA</w:t>
      </w:r>
      <w:r>
        <w:rPr>
          <w:rFonts w:hint="eastAsia"/>
        </w:rPr>
        <w:t>を選択する権利を</w:t>
      </w:r>
      <w:r w:rsidR="00AA2B6F">
        <w:rPr>
          <w:rFonts w:hint="eastAsia"/>
        </w:rPr>
        <w:t>いまだに</w:t>
      </w:r>
      <w:r>
        <w:rPr>
          <w:rFonts w:hint="eastAsia"/>
        </w:rPr>
        <w:t>得ていない。</w:t>
      </w:r>
      <w:r>
        <w:rPr>
          <w:rStyle w:val="a8"/>
        </w:rPr>
        <w:endnoteReference w:id="82"/>
      </w:r>
      <w:r w:rsidR="00CA3DDE">
        <w:rPr>
          <w:rFonts w:hint="eastAsia"/>
        </w:rPr>
        <w:t>調査</w:t>
      </w:r>
      <w:r w:rsidR="00CA3DDE">
        <w:rPr>
          <w:rStyle w:val="a8"/>
        </w:rPr>
        <w:endnoteReference w:id="83"/>
      </w:r>
      <w:r w:rsidR="00CA3DDE">
        <w:rPr>
          <w:rFonts w:hint="eastAsia"/>
        </w:rPr>
        <w:t>によれば、市町村は</w:t>
      </w:r>
      <w:r w:rsidR="00CA3DDE">
        <w:rPr>
          <w:rFonts w:hint="eastAsia"/>
        </w:rPr>
        <w:t>UPA</w:t>
      </w:r>
      <w:r w:rsidR="00CA3DDE">
        <w:rPr>
          <w:rFonts w:hint="eastAsia"/>
        </w:rPr>
        <w:t>を割り</w:t>
      </w:r>
      <w:r w:rsidR="002C6F09">
        <w:rPr>
          <w:rFonts w:hint="eastAsia"/>
        </w:rPr>
        <w:t>当てる</w:t>
      </w:r>
      <w:r w:rsidR="00CA3DDE">
        <w:rPr>
          <w:rFonts w:hint="eastAsia"/>
        </w:rPr>
        <w:t>際に、社会活動、労働及び学習を通じて社会に参加するためのアシスタンスのニーズではなく、基本的なニーズ</w:t>
      </w:r>
      <w:r w:rsidR="008668EB">
        <w:rPr>
          <w:rFonts w:hint="eastAsia"/>
        </w:rPr>
        <w:t>のための</w:t>
      </w:r>
      <w:r w:rsidR="00CA3DDE">
        <w:rPr>
          <w:rFonts w:hint="eastAsia"/>
        </w:rPr>
        <w:t>アシスタンスをより重視している。</w:t>
      </w:r>
      <w:r w:rsidR="00AA2B6F">
        <w:rPr>
          <w:rFonts w:hint="eastAsia"/>
        </w:rPr>
        <w:t>誰が</w:t>
      </w:r>
      <w:r w:rsidR="00CA3DDE">
        <w:rPr>
          <w:rFonts w:hint="eastAsia"/>
        </w:rPr>
        <w:t>アシスタンスを提供できるかに加えて、いつ、どこで、どのようにアシスタンス</w:t>
      </w:r>
      <w:r w:rsidR="008668EB">
        <w:rPr>
          <w:rFonts w:hint="eastAsia"/>
        </w:rPr>
        <w:t>が</w:t>
      </w:r>
      <w:r w:rsidR="00CA3DDE">
        <w:rPr>
          <w:rFonts w:hint="eastAsia"/>
        </w:rPr>
        <w:t>提供</w:t>
      </w:r>
      <w:r w:rsidR="008668EB">
        <w:rPr>
          <w:rFonts w:hint="eastAsia"/>
        </w:rPr>
        <w:t>される</w:t>
      </w:r>
      <w:r w:rsidR="00CA3DDE">
        <w:rPr>
          <w:rFonts w:hint="eastAsia"/>
        </w:rPr>
        <w:t>か</w:t>
      </w:r>
      <w:r w:rsidR="00AA2B6F">
        <w:rPr>
          <w:rFonts w:hint="eastAsia"/>
        </w:rPr>
        <w:t>も</w:t>
      </w:r>
      <w:r w:rsidR="00CA3DDE">
        <w:rPr>
          <w:rFonts w:hint="eastAsia"/>
        </w:rPr>
        <w:t>市町村が提示するので、利用者による管理は十分ではない。</w:t>
      </w:r>
      <w:r w:rsidR="00CA3DDE">
        <w:rPr>
          <w:rStyle w:val="a8"/>
        </w:rPr>
        <w:endnoteReference w:id="84"/>
      </w:r>
      <w:r w:rsidR="008668EB">
        <w:rPr>
          <w:rFonts w:hint="eastAsia"/>
        </w:rPr>
        <w:t>制度</w:t>
      </w:r>
      <w:r w:rsidR="00EA1447">
        <w:rPr>
          <w:rFonts w:hint="eastAsia"/>
        </w:rPr>
        <w:t>を</w:t>
      </w:r>
      <w:r w:rsidR="00CA3DDE">
        <w:rPr>
          <w:rFonts w:hint="eastAsia"/>
        </w:rPr>
        <w:t>遂行</w:t>
      </w:r>
      <w:r w:rsidR="00EA1447">
        <w:rPr>
          <w:rFonts w:hint="eastAsia"/>
        </w:rPr>
        <w:t>する際</w:t>
      </w:r>
      <w:r w:rsidR="00CA3DDE">
        <w:rPr>
          <w:rFonts w:hint="eastAsia"/>
        </w:rPr>
        <w:t>、市町村によ</w:t>
      </w:r>
      <w:r w:rsidR="00EA1447">
        <w:rPr>
          <w:rFonts w:hint="eastAsia"/>
        </w:rPr>
        <w:t>り大きな差が</w:t>
      </w:r>
      <w:r w:rsidR="008668EB">
        <w:rPr>
          <w:rFonts w:hint="eastAsia"/>
        </w:rPr>
        <w:t>生じる</w:t>
      </w:r>
      <w:r w:rsidR="00EA1447">
        <w:rPr>
          <w:rFonts w:hint="eastAsia"/>
        </w:rPr>
        <w:t>。</w:t>
      </w:r>
      <w:r w:rsidR="00EA1447">
        <w:rPr>
          <w:rStyle w:val="a8"/>
        </w:rPr>
        <w:endnoteReference w:id="85"/>
      </w:r>
    </w:p>
    <w:p w14:paraId="4E35F7CB" w14:textId="0434793D" w:rsidR="00CA3DDE" w:rsidRDefault="00D54120" w:rsidP="0017619F">
      <w:pPr>
        <w:pStyle w:val="af0"/>
        <w:numPr>
          <w:ilvl w:val="0"/>
          <w:numId w:val="4"/>
        </w:numPr>
        <w:ind w:leftChars="0"/>
      </w:pPr>
      <w:r>
        <w:rPr>
          <w:rFonts w:hint="eastAsia"/>
        </w:rPr>
        <w:t>感覚機能を</w:t>
      </w:r>
      <w:r w:rsidR="00AA2B6F">
        <w:rPr>
          <w:rFonts w:hint="eastAsia"/>
        </w:rPr>
        <w:t>喪失した</w:t>
      </w:r>
      <w:r>
        <w:rPr>
          <w:rFonts w:hint="eastAsia"/>
        </w:rPr>
        <w:t>人</w:t>
      </w:r>
      <w:r w:rsidR="00AA2B6F">
        <w:rPr>
          <w:rFonts w:hint="eastAsia"/>
        </w:rPr>
        <w:t>が</w:t>
      </w:r>
      <w:r>
        <w:rPr>
          <w:rFonts w:hint="eastAsia"/>
        </w:rPr>
        <w:t>、</w:t>
      </w:r>
      <w:r w:rsidR="001A5677">
        <w:rPr>
          <w:rFonts w:hint="eastAsia"/>
        </w:rPr>
        <w:t>サービス</w:t>
      </w:r>
      <w:r>
        <w:rPr>
          <w:rFonts w:hint="eastAsia"/>
        </w:rPr>
        <w:t>時間外</w:t>
      </w:r>
      <w:r w:rsidR="00AA2B6F">
        <w:rPr>
          <w:rFonts w:hint="eastAsia"/>
        </w:rPr>
        <w:t>に</w:t>
      </w:r>
      <w:r>
        <w:rPr>
          <w:rFonts w:hint="eastAsia"/>
        </w:rPr>
        <w:t>通訳者</w:t>
      </w:r>
      <w:r w:rsidR="00AA2B6F">
        <w:rPr>
          <w:rFonts w:hint="eastAsia"/>
        </w:rPr>
        <w:t>による</w:t>
      </w:r>
      <w:r>
        <w:rPr>
          <w:rFonts w:hint="eastAsia"/>
        </w:rPr>
        <w:t>サービスを受け</w:t>
      </w:r>
      <w:r w:rsidR="00AA2B6F">
        <w:rPr>
          <w:rFonts w:hint="eastAsia"/>
        </w:rPr>
        <w:t>られ</w:t>
      </w:r>
      <w:r>
        <w:rPr>
          <w:rFonts w:hint="eastAsia"/>
        </w:rPr>
        <w:t>ていない。</w:t>
      </w:r>
      <w:r w:rsidR="00AA2B6F">
        <w:rPr>
          <w:rStyle w:val="a8"/>
        </w:rPr>
        <w:endnoteReference w:id="86"/>
      </w:r>
    </w:p>
    <w:p w14:paraId="3C8D881D" w14:textId="3E579E21" w:rsidR="00AA2B6F" w:rsidRDefault="0092201F" w:rsidP="00AA2B6F">
      <w:pPr>
        <w:pStyle w:val="af0"/>
        <w:numPr>
          <w:ilvl w:val="1"/>
          <w:numId w:val="3"/>
        </w:numPr>
        <w:ind w:leftChars="0"/>
      </w:pPr>
      <w:r>
        <w:rPr>
          <w:rFonts w:hint="eastAsia"/>
        </w:rPr>
        <w:t>障害のある人が</w:t>
      </w:r>
      <w:r w:rsidR="00024C82">
        <w:rPr>
          <w:rFonts w:hint="eastAsia"/>
        </w:rPr>
        <w:t>、必要なサービスに</w:t>
      </w:r>
      <w:r w:rsidR="001B5D92">
        <w:rPr>
          <w:rFonts w:hint="eastAsia"/>
        </w:rPr>
        <w:t>かか</w:t>
      </w:r>
      <w:r w:rsidR="00024C82">
        <w:rPr>
          <w:rFonts w:hint="eastAsia"/>
        </w:rPr>
        <w:t>わらず、</w:t>
      </w:r>
      <w:r>
        <w:rPr>
          <w:rFonts w:hint="eastAsia"/>
        </w:rPr>
        <w:t>居住地及び居住形態</w:t>
      </w:r>
      <w:r w:rsidR="003B34B6">
        <w:rPr>
          <w:rFonts w:hint="eastAsia"/>
        </w:rPr>
        <w:t>を自由に選択する</w:t>
      </w:r>
      <w:r>
        <w:rPr>
          <w:rFonts w:hint="eastAsia"/>
        </w:rPr>
        <w:t>権利を与えられることを、</w:t>
      </w:r>
      <w:r w:rsidR="003B34B6">
        <w:rPr>
          <w:rFonts w:hint="eastAsia"/>
        </w:rPr>
        <w:t>政府は</w:t>
      </w:r>
      <w:r>
        <w:rPr>
          <w:rFonts w:hint="eastAsia"/>
        </w:rPr>
        <w:t>どのようにして確保するのか？</w:t>
      </w:r>
    </w:p>
    <w:p w14:paraId="2D727229" w14:textId="13068DDF" w:rsidR="00024C82" w:rsidRDefault="00032884" w:rsidP="00AA2B6F">
      <w:pPr>
        <w:pStyle w:val="af0"/>
        <w:numPr>
          <w:ilvl w:val="1"/>
          <w:numId w:val="3"/>
        </w:numPr>
        <w:ind w:leftChars="0"/>
      </w:pPr>
      <w:r>
        <w:rPr>
          <w:rFonts w:hint="eastAsia"/>
        </w:rPr>
        <w:t>障害のある人が</w:t>
      </w:r>
      <w:r w:rsidR="002C6F09">
        <w:rPr>
          <w:rFonts w:hint="eastAsia"/>
        </w:rPr>
        <w:t>活動的な</w:t>
      </w:r>
      <w:r>
        <w:rPr>
          <w:rFonts w:hint="eastAsia"/>
        </w:rPr>
        <w:t>自立した生活を送り、</w:t>
      </w:r>
      <w:r w:rsidR="002C6F09">
        <w:rPr>
          <w:rFonts w:hint="eastAsia"/>
        </w:rPr>
        <w:t>家庭以外</w:t>
      </w:r>
      <w:r>
        <w:rPr>
          <w:rFonts w:hint="eastAsia"/>
        </w:rPr>
        <w:t>の社会に参加できるように</w:t>
      </w:r>
      <w:r w:rsidR="003B34B6">
        <w:rPr>
          <w:rFonts w:hint="eastAsia"/>
        </w:rPr>
        <w:t>、市町村サービスを割り当てたり</w:t>
      </w:r>
      <w:r w:rsidR="002C6F09">
        <w:rPr>
          <w:rFonts w:hint="eastAsia"/>
        </w:rPr>
        <w:t>運営したりする際に、</w:t>
      </w:r>
      <w:r>
        <w:rPr>
          <w:rFonts w:hint="eastAsia"/>
        </w:rPr>
        <w:t>利用者の関与及び利用者による管理</w:t>
      </w:r>
      <w:r w:rsidR="002C6F09">
        <w:rPr>
          <w:rFonts w:hint="eastAsia"/>
        </w:rPr>
        <w:t>は</w:t>
      </w:r>
      <w:r>
        <w:rPr>
          <w:rFonts w:hint="eastAsia"/>
        </w:rPr>
        <w:t>どのように確保されるのか</w:t>
      </w:r>
      <w:r w:rsidR="002C6F09">
        <w:rPr>
          <w:rFonts w:hint="eastAsia"/>
        </w:rPr>
        <w:t>？</w:t>
      </w:r>
      <w:r w:rsidR="004C1B4E">
        <w:rPr>
          <w:rFonts w:hint="eastAsia"/>
        </w:rPr>
        <w:t xml:space="preserve">　障害のある人が</w:t>
      </w:r>
      <w:r w:rsidR="003B34B6">
        <w:rPr>
          <w:rFonts w:hint="eastAsia"/>
        </w:rPr>
        <w:t>、</w:t>
      </w:r>
      <w:r w:rsidR="004C1B4E">
        <w:rPr>
          <w:rFonts w:hint="eastAsia"/>
        </w:rPr>
        <w:t>あらゆる事例において</w:t>
      </w:r>
      <w:r w:rsidR="003B34B6">
        <w:rPr>
          <w:rFonts w:hint="eastAsia"/>
        </w:rPr>
        <w:t>、</w:t>
      </w:r>
      <w:r w:rsidR="004C1B4E">
        <w:rPr>
          <w:rFonts w:hint="eastAsia"/>
        </w:rPr>
        <w:t>自分自身の</w:t>
      </w:r>
      <w:r w:rsidR="004C1B4E">
        <w:rPr>
          <w:rFonts w:hint="eastAsia"/>
        </w:rPr>
        <w:t>UPA</w:t>
      </w:r>
      <w:r w:rsidR="004C1B4E">
        <w:rPr>
          <w:rFonts w:hint="eastAsia"/>
        </w:rPr>
        <w:t>を制約なく自由に管理することを確保するために</w:t>
      </w:r>
      <w:r w:rsidR="003B34B6">
        <w:rPr>
          <w:rFonts w:hint="eastAsia"/>
        </w:rPr>
        <w:t>、</w:t>
      </w:r>
      <w:r w:rsidR="004C1B4E">
        <w:rPr>
          <w:rFonts w:hint="eastAsia"/>
        </w:rPr>
        <w:t xml:space="preserve">どのような方策が講じられるのか？　</w:t>
      </w:r>
      <w:r w:rsidR="00960DEE">
        <w:rPr>
          <w:rFonts w:hint="eastAsia"/>
        </w:rPr>
        <w:t xml:space="preserve"> </w:t>
      </w:r>
      <w:r w:rsidR="004C1B4E">
        <w:rPr>
          <w:rFonts w:hint="eastAsia"/>
        </w:rPr>
        <w:t>U</w:t>
      </w:r>
      <w:r w:rsidR="004C1B4E">
        <w:t>PA</w:t>
      </w:r>
      <w:r w:rsidR="004C1B4E">
        <w:rPr>
          <w:rFonts w:hint="eastAsia"/>
        </w:rPr>
        <w:t>に対する</w:t>
      </w:r>
      <w:r w:rsidR="00960DEE">
        <w:rPr>
          <w:rFonts w:hint="eastAsia"/>
        </w:rPr>
        <w:t>制定法上の</w:t>
      </w:r>
      <w:r w:rsidR="004C1B4E">
        <w:rPr>
          <w:rFonts w:hint="eastAsia"/>
        </w:rPr>
        <w:t>権利が</w:t>
      </w:r>
      <w:r w:rsidR="00960DEE">
        <w:rPr>
          <w:rFonts w:hint="eastAsia"/>
        </w:rPr>
        <w:t>、</w:t>
      </w:r>
      <w:r w:rsidR="004C1B4E">
        <w:rPr>
          <w:rFonts w:hint="eastAsia"/>
        </w:rPr>
        <w:t>週</w:t>
      </w:r>
      <w:r w:rsidR="004C1B4E">
        <w:rPr>
          <w:rFonts w:hint="eastAsia"/>
        </w:rPr>
        <w:t>32</w:t>
      </w:r>
      <w:r w:rsidR="004C1B4E">
        <w:rPr>
          <w:rFonts w:hint="eastAsia"/>
        </w:rPr>
        <w:t>時間未満のアシスタンスを必要としている人に拡大されることを確保するために</w:t>
      </w:r>
      <w:r w:rsidR="00960DEE">
        <w:rPr>
          <w:rFonts w:hint="eastAsia"/>
        </w:rPr>
        <w:t>、</w:t>
      </w:r>
      <w:r w:rsidR="004C1B4E">
        <w:rPr>
          <w:rFonts w:hint="eastAsia"/>
        </w:rPr>
        <w:t>どのような方策が講じられるのか</w:t>
      </w:r>
      <w:r w:rsidR="00960DEE">
        <w:rPr>
          <w:rFonts w:hint="eastAsia"/>
        </w:rPr>
        <w:t>？</w:t>
      </w:r>
    </w:p>
    <w:p w14:paraId="31E1F3E9" w14:textId="133A3FC1" w:rsidR="00960DEE" w:rsidRDefault="00960DEE" w:rsidP="00AA2B6F">
      <w:pPr>
        <w:pStyle w:val="af0"/>
        <w:numPr>
          <w:ilvl w:val="1"/>
          <w:numId w:val="3"/>
        </w:numPr>
        <w:ind w:leftChars="0"/>
      </w:pPr>
      <w:r>
        <w:rPr>
          <w:rFonts w:hint="eastAsia"/>
        </w:rPr>
        <w:t>ろう及び難聴の人が、</w:t>
      </w:r>
      <w:r w:rsidR="001A5677">
        <w:rPr>
          <w:rFonts w:hint="eastAsia"/>
        </w:rPr>
        <w:t>サービス</w:t>
      </w:r>
      <w:r>
        <w:rPr>
          <w:rFonts w:hint="eastAsia"/>
        </w:rPr>
        <w:t>時間外及び国民の休日を含む必要な</w:t>
      </w:r>
      <w:r w:rsidR="001A5677">
        <w:rPr>
          <w:rFonts w:hint="eastAsia"/>
        </w:rPr>
        <w:t>時</w:t>
      </w:r>
      <w:r>
        <w:rPr>
          <w:rFonts w:hint="eastAsia"/>
        </w:rPr>
        <w:t>に</w:t>
      </w:r>
      <w:r w:rsidR="00A86237">
        <w:rPr>
          <w:rFonts w:hint="eastAsia"/>
        </w:rPr>
        <w:t>、</w:t>
      </w:r>
      <w:r>
        <w:rPr>
          <w:rFonts w:hint="eastAsia"/>
        </w:rPr>
        <w:t>通訳サービスを受け</w:t>
      </w:r>
      <w:r w:rsidR="00D515E6">
        <w:rPr>
          <w:rFonts w:hint="eastAsia"/>
        </w:rPr>
        <w:t>られ</w:t>
      </w:r>
      <w:r>
        <w:rPr>
          <w:rFonts w:hint="eastAsia"/>
        </w:rPr>
        <w:t>るようにするために、何がなされるのか？</w:t>
      </w:r>
    </w:p>
    <w:p w14:paraId="773E5185" w14:textId="719D2AFB" w:rsidR="00D515E6" w:rsidRPr="00B64BF7" w:rsidRDefault="00D515E6" w:rsidP="00D515E6">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21</w:t>
      </w:r>
      <w:r w:rsidRPr="00B64BF7">
        <w:rPr>
          <w:rFonts w:asciiTheme="majorEastAsia" w:eastAsiaTheme="majorEastAsia" w:hAnsiTheme="majorEastAsia" w:hint="eastAsia"/>
        </w:rPr>
        <w:t>条：表現及び意見の自由並びに情報の利用の機会</w:t>
      </w:r>
    </w:p>
    <w:p w14:paraId="32AD471A" w14:textId="0465B106" w:rsidR="00AA2B6F" w:rsidRDefault="006145B7" w:rsidP="0017619F">
      <w:pPr>
        <w:pStyle w:val="af0"/>
        <w:numPr>
          <w:ilvl w:val="0"/>
          <w:numId w:val="4"/>
        </w:numPr>
        <w:ind w:leftChars="0"/>
      </w:pPr>
      <w:r>
        <w:rPr>
          <w:rFonts w:hint="eastAsia"/>
        </w:rPr>
        <w:t>情報通信のユニバーサルデザインに関する要件は何も設定されていない。第</w:t>
      </w:r>
      <w:r>
        <w:rPr>
          <w:rFonts w:hint="eastAsia"/>
        </w:rPr>
        <w:t>9</w:t>
      </w:r>
      <w:r>
        <w:rPr>
          <w:rFonts w:hint="eastAsia"/>
        </w:rPr>
        <w:t>条を参照。放送法</w:t>
      </w:r>
      <w:r>
        <w:rPr>
          <w:rStyle w:val="a8"/>
        </w:rPr>
        <w:endnoteReference w:id="87"/>
      </w:r>
      <w:r>
        <w:rPr>
          <w:rFonts w:hint="eastAsia"/>
        </w:rPr>
        <w:t>で</w:t>
      </w:r>
      <w:r w:rsidR="003B34B6">
        <w:rPr>
          <w:rFonts w:hint="eastAsia"/>
        </w:rPr>
        <w:t>は</w:t>
      </w:r>
      <w:r>
        <w:rPr>
          <w:rFonts w:hint="eastAsia"/>
        </w:rPr>
        <w:t>、</w:t>
      </w:r>
      <w:r>
        <w:rPr>
          <w:rFonts w:hint="eastAsia"/>
        </w:rPr>
        <w:t>5</w:t>
      </w:r>
      <w:r>
        <w:rPr>
          <w:rFonts w:hint="eastAsia"/>
        </w:rPr>
        <w:t>パーセント以上の視聴者（</w:t>
      </w:r>
      <w:r>
        <w:rPr>
          <w:rFonts w:hint="eastAsia"/>
        </w:rPr>
        <w:t>250,000</w:t>
      </w:r>
      <w:r>
        <w:rPr>
          <w:rFonts w:hint="eastAsia"/>
        </w:rPr>
        <w:t>人）を抱えるノルウェーのテレビ放送局に対し</w:t>
      </w:r>
      <w:r w:rsidR="003B34B6">
        <w:rPr>
          <w:rFonts w:hint="eastAsia"/>
        </w:rPr>
        <w:t>てのみ</w:t>
      </w:r>
      <w:r>
        <w:rPr>
          <w:rFonts w:hint="eastAsia"/>
        </w:rPr>
        <w:t>、午後</w:t>
      </w:r>
      <w:r>
        <w:rPr>
          <w:rFonts w:hint="eastAsia"/>
        </w:rPr>
        <w:t>6</w:t>
      </w:r>
      <w:r>
        <w:rPr>
          <w:rFonts w:hint="eastAsia"/>
        </w:rPr>
        <w:t>時から午後</w:t>
      </w:r>
      <w:r>
        <w:rPr>
          <w:rFonts w:hint="eastAsia"/>
        </w:rPr>
        <w:t>11</w:t>
      </w:r>
      <w:r>
        <w:rPr>
          <w:rFonts w:hint="eastAsia"/>
        </w:rPr>
        <w:t>時までの放送に字幕を付けることを義務付けている。</w:t>
      </w:r>
      <w:r w:rsidR="00A14FB8">
        <w:rPr>
          <w:rFonts w:hint="eastAsia"/>
        </w:rPr>
        <w:t>ノルウェー・メディア庁は、</w:t>
      </w:r>
      <w:r w:rsidR="0037571E">
        <w:rPr>
          <w:rFonts w:hint="eastAsia"/>
        </w:rPr>
        <w:t>積極的なチェックを何も実施しておらず、制裁機関ではない。</w:t>
      </w:r>
      <w:r w:rsidR="002D4073">
        <w:rPr>
          <w:rFonts w:hint="eastAsia"/>
        </w:rPr>
        <w:t>吹き替え義務</w:t>
      </w:r>
      <w:r w:rsidR="00075114">
        <w:rPr>
          <w:rFonts w:hint="eastAsia"/>
        </w:rPr>
        <w:t>が</w:t>
      </w:r>
      <w:r w:rsidR="00F95624">
        <w:rPr>
          <w:rFonts w:hint="eastAsia"/>
        </w:rPr>
        <w:t>な</w:t>
      </w:r>
      <w:r w:rsidR="00492990">
        <w:rPr>
          <w:rFonts w:hint="eastAsia"/>
        </w:rPr>
        <w:t>い</w:t>
      </w:r>
      <w:r w:rsidR="002D4073">
        <w:rPr>
          <w:rFonts w:hint="eastAsia"/>
        </w:rPr>
        <w:t>ので、視覚障害や認知障害のある人には、ノルウェー語以外の言語による</w:t>
      </w:r>
      <w:r w:rsidR="00F95624">
        <w:rPr>
          <w:rFonts w:hint="eastAsia"/>
        </w:rPr>
        <w:t>ニュース放送及びその他のテレビ番組</w:t>
      </w:r>
      <w:r w:rsidR="003B34B6">
        <w:rPr>
          <w:rFonts w:hint="eastAsia"/>
        </w:rPr>
        <w:t>への</w:t>
      </w:r>
      <w:r w:rsidR="00F95624">
        <w:rPr>
          <w:rFonts w:hint="eastAsia"/>
        </w:rPr>
        <w:t>完全</w:t>
      </w:r>
      <w:r w:rsidR="003B34B6">
        <w:rPr>
          <w:rFonts w:hint="eastAsia"/>
        </w:rPr>
        <w:t>なアクセス</w:t>
      </w:r>
      <w:r w:rsidR="00F95624">
        <w:rPr>
          <w:rFonts w:hint="eastAsia"/>
        </w:rPr>
        <w:t>がない。</w:t>
      </w:r>
    </w:p>
    <w:p w14:paraId="1C2CC6A0" w14:textId="4C44EDC6" w:rsidR="00F95624" w:rsidRDefault="00F95624" w:rsidP="0017619F">
      <w:pPr>
        <w:pStyle w:val="af0"/>
        <w:numPr>
          <w:ilvl w:val="0"/>
          <w:numId w:val="4"/>
        </w:numPr>
        <w:ind w:leftChars="0"/>
      </w:pPr>
      <w:r>
        <w:rPr>
          <w:rFonts w:hint="eastAsia"/>
        </w:rPr>
        <w:t>公共のイベントにおい</w:t>
      </w:r>
      <w:r w:rsidR="005B4750">
        <w:rPr>
          <w:rFonts w:hint="eastAsia"/>
        </w:rPr>
        <w:t>て、</w:t>
      </w:r>
      <w:r w:rsidR="0076100B">
        <w:rPr>
          <w:rFonts w:hint="eastAsia"/>
        </w:rPr>
        <w:t>誰もが利用できる</w:t>
      </w:r>
      <w:r w:rsidR="00CC0D24">
        <w:rPr>
          <w:rFonts w:hint="eastAsia"/>
        </w:rPr>
        <w:t>一般の</w:t>
      </w:r>
      <w:r>
        <w:rPr>
          <w:rFonts w:hint="eastAsia"/>
        </w:rPr>
        <w:t>通訳サービスがない。</w:t>
      </w:r>
      <w:r w:rsidR="00CC0D24">
        <w:rPr>
          <w:rFonts w:hint="eastAsia"/>
        </w:rPr>
        <w:t>個人で専属</w:t>
      </w:r>
      <w:r w:rsidR="005B4750">
        <w:rPr>
          <w:rFonts w:hint="eastAsia"/>
        </w:rPr>
        <w:t>通訳者の派遣を申請しなければならない。</w:t>
      </w:r>
    </w:p>
    <w:p w14:paraId="7623CB6D" w14:textId="5E575C1E" w:rsidR="005B4750" w:rsidRDefault="00CC0D24" w:rsidP="005B4750">
      <w:pPr>
        <w:pStyle w:val="af0"/>
        <w:numPr>
          <w:ilvl w:val="1"/>
          <w:numId w:val="3"/>
        </w:numPr>
        <w:ind w:leftChars="0"/>
      </w:pPr>
      <w:r>
        <w:rPr>
          <w:rFonts w:hint="eastAsia"/>
        </w:rPr>
        <w:t>公共放送局だけでなく、すべての放送局による字幕</w:t>
      </w:r>
      <w:r w:rsidR="00845149">
        <w:rPr>
          <w:rFonts w:hint="eastAsia"/>
        </w:rPr>
        <w:t>添付と吹き替えを確保するべく、ノルウェー放送法の要件を強化するための方策を示してください。</w:t>
      </w:r>
      <w:r w:rsidR="00C97539">
        <w:rPr>
          <w:rFonts w:hint="eastAsia"/>
        </w:rPr>
        <w:t>公共</w:t>
      </w:r>
      <w:r w:rsidR="00845149">
        <w:rPr>
          <w:rFonts w:hint="eastAsia"/>
        </w:rPr>
        <w:t>のイベントにおける通訳サービスを確保するために、どのような方策が講じられるのか？</w:t>
      </w:r>
    </w:p>
    <w:p w14:paraId="6FDEAFEA" w14:textId="749D7EF5" w:rsidR="00C97539" w:rsidRPr="00B64BF7" w:rsidRDefault="00C97539" w:rsidP="00C97539">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23</w:t>
      </w:r>
      <w:r w:rsidRPr="00B64BF7">
        <w:rPr>
          <w:rFonts w:asciiTheme="majorEastAsia" w:eastAsiaTheme="majorEastAsia" w:hAnsiTheme="majorEastAsia" w:hint="eastAsia"/>
        </w:rPr>
        <w:t>条：家庭及び家族の尊重</w:t>
      </w:r>
    </w:p>
    <w:p w14:paraId="397C71BA" w14:textId="153D7D8E" w:rsidR="005B4750" w:rsidRDefault="00F71C54" w:rsidP="0017619F">
      <w:pPr>
        <w:pStyle w:val="af0"/>
        <w:numPr>
          <w:ilvl w:val="0"/>
          <w:numId w:val="4"/>
        </w:numPr>
        <w:ind w:leftChars="0"/>
      </w:pPr>
      <w:r>
        <w:rPr>
          <w:rFonts w:hint="eastAsia"/>
        </w:rPr>
        <w:t>障害のある子ども</w:t>
      </w:r>
      <w:r w:rsidR="00AF27B0">
        <w:rPr>
          <w:rFonts w:hint="eastAsia"/>
        </w:rPr>
        <w:t>を持つ</w:t>
      </w:r>
      <w:r>
        <w:rPr>
          <w:rFonts w:hint="eastAsia"/>
        </w:rPr>
        <w:t>家族の多くは、支援サービス機関から、必要な情報、サービス及び支援を受けていない。</w:t>
      </w:r>
      <w:r>
        <w:rPr>
          <w:rStyle w:val="a8"/>
        </w:rPr>
        <w:endnoteReference w:id="88"/>
      </w:r>
      <w:r>
        <w:rPr>
          <w:rFonts w:hint="eastAsia"/>
        </w:rPr>
        <w:t>さまざまな支援策及び規則に関して</w:t>
      </w:r>
      <w:r w:rsidR="00A9726E">
        <w:rPr>
          <w:rFonts w:hint="eastAsia"/>
        </w:rPr>
        <w:t>、</w:t>
      </w:r>
      <w:r>
        <w:rPr>
          <w:rFonts w:hint="eastAsia"/>
        </w:rPr>
        <w:t>彼らが受け取る情報は不十分で、支援サービスは断片的であり、まとまりがなく、サービス申請のプロセス</w:t>
      </w:r>
      <w:r w:rsidR="00A9726E">
        <w:rPr>
          <w:rFonts w:hint="eastAsia"/>
        </w:rPr>
        <w:t>と</w:t>
      </w:r>
      <w:r w:rsidR="00510276">
        <w:rPr>
          <w:rFonts w:hint="eastAsia"/>
        </w:rPr>
        <w:t>、給付</w:t>
      </w:r>
      <w:r>
        <w:rPr>
          <w:rFonts w:hint="eastAsia"/>
        </w:rPr>
        <w:t>やサービスが拒まれた場合の苦情申立のプロセスは</w:t>
      </w:r>
      <w:r w:rsidR="00A9726E">
        <w:rPr>
          <w:rFonts w:hint="eastAsia"/>
        </w:rPr>
        <w:t>、長期にわたる</w:t>
      </w:r>
      <w:r>
        <w:rPr>
          <w:rFonts w:hint="eastAsia"/>
        </w:rPr>
        <w:t>。</w:t>
      </w:r>
      <w:r>
        <w:rPr>
          <w:rStyle w:val="a8"/>
        </w:rPr>
        <w:endnoteReference w:id="89"/>
      </w:r>
    </w:p>
    <w:p w14:paraId="6E4B1160" w14:textId="67D0C2D1" w:rsidR="00A9726E" w:rsidRDefault="00343151" w:rsidP="003457FF">
      <w:pPr>
        <w:pStyle w:val="af0"/>
        <w:numPr>
          <w:ilvl w:val="0"/>
          <w:numId w:val="4"/>
        </w:numPr>
        <w:ind w:leftChars="0"/>
      </w:pPr>
      <w:r>
        <w:rPr>
          <w:rFonts w:hint="eastAsia"/>
        </w:rPr>
        <w:t>政府報告</w:t>
      </w:r>
      <w:r w:rsidR="003F753B">
        <w:rPr>
          <w:rFonts w:hint="eastAsia"/>
        </w:rPr>
        <w:t>パラグラフ</w:t>
      </w:r>
      <w:r w:rsidR="003F753B">
        <w:rPr>
          <w:rFonts w:hint="eastAsia"/>
        </w:rPr>
        <w:t>242</w:t>
      </w:r>
      <w:r w:rsidR="003F753B">
        <w:rPr>
          <w:rFonts w:hint="eastAsia"/>
        </w:rPr>
        <w:t>にあるように、</w:t>
      </w:r>
      <w:r w:rsidR="00FD3D21">
        <w:rPr>
          <w:rFonts w:hint="eastAsia"/>
        </w:rPr>
        <w:t>市町村は、</w:t>
      </w:r>
      <w:r w:rsidR="003F753B">
        <w:rPr>
          <w:rFonts w:hint="eastAsia"/>
        </w:rPr>
        <w:t>市民</w:t>
      </w:r>
      <w:r w:rsidR="003457FF">
        <w:rPr>
          <w:rFonts w:hint="eastAsia"/>
        </w:rPr>
        <w:t>が</w:t>
      </w:r>
      <w:r w:rsidR="003F753B">
        <w:rPr>
          <w:rFonts w:hint="eastAsia"/>
        </w:rPr>
        <w:t>コーディネーターと個別計画を</w:t>
      </w:r>
      <w:r>
        <w:rPr>
          <w:rFonts w:hint="eastAsia"/>
        </w:rPr>
        <w:t>確実に</w:t>
      </w:r>
      <w:r w:rsidR="00510276">
        <w:rPr>
          <w:rFonts w:hint="eastAsia"/>
        </w:rPr>
        <w:t>利用</w:t>
      </w:r>
      <w:r>
        <w:rPr>
          <w:rFonts w:hint="eastAsia"/>
        </w:rPr>
        <w:t>できるよう、責任を伴った</w:t>
      </w:r>
      <w:r w:rsidR="003F753B">
        <w:rPr>
          <w:rFonts w:hint="eastAsia"/>
        </w:rPr>
        <w:t>調整</w:t>
      </w:r>
      <w:r w:rsidR="00BE0AC6">
        <w:rPr>
          <w:rFonts w:hint="eastAsia"/>
        </w:rPr>
        <w:t>部門</w:t>
      </w:r>
      <w:r w:rsidR="003F753B">
        <w:rPr>
          <w:rFonts w:hint="eastAsia"/>
        </w:rPr>
        <w:t>を設ける</w:t>
      </w:r>
      <w:r w:rsidR="00FD3D21">
        <w:rPr>
          <w:rFonts w:hint="eastAsia"/>
        </w:rPr>
        <w:t>ことを</w:t>
      </w:r>
      <w:r w:rsidR="003F753B">
        <w:rPr>
          <w:rFonts w:hint="eastAsia"/>
        </w:rPr>
        <w:t>法律で</w:t>
      </w:r>
      <w:r w:rsidR="00AF27B0">
        <w:rPr>
          <w:rFonts w:hint="eastAsia"/>
        </w:rPr>
        <w:t>義務付けられている。</w:t>
      </w:r>
      <w:r w:rsidR="00BE0AC6">
        <w:rPr>
          <w:rFonts w:hint="eastAsia"/>
        </w:rPr>
        <w:t>このような部門を持つ</w:t>
      </w:r>
      <w:r w:rsidR="000D73E9">
        <w:rPr>
          <w:rFonts w:hint="eastAsia"/>
        </w:rPr>
        <w:t>の</w:t>
      </w:r>
      <w:r w:rsidR="00BE0AC6">
        <w:rPr>
          <w:rFonts w:hint="eastAsia"/>
        </w:rPr>
        <w:t>は</w:t>
      </w:r>
      <w:r w:rsidR="00BE0AC6">
        <w:rPr>
          <w:rFonts w:hint="eastAsia"/>
        </w:rPr>
        <w:t>5</w:t>
      </w:r>
      <w:r w:rsidR="00E3062A">
        <w:rPr>
          <w:rFonts w:hint="eastAsia"/>
        </w:rPr>
        <w:t>市町</w:t>
      </w:r>
      <w:r w:rsidR="000D73E9">
        <w:rPr>
          <w:rFonts w:hint="eastAsia"/>
        </w:rPr>
        <w:t>村につきわずか</w:t>
      </w:r>
      <w:bookmarkStart w:id="0" w:name="_GoBack"/>
      <w:bookmarkEnd w:id="0"/>
      <w:r w:rsidR="00BE0AC6">
        <w:rPr>
          <w:rFonts w:hint="eastAsia"/>
        </w:rPr>
        <w:t>1</w:t>
      </w:r>
      <w:r w:rsidR="00E3062A">
        <w:rPr>
          <w:rFonts w:hint="eastAsia"/>
        </w:rPr>
        <w:t>市町</w:t>
      </w:r>
      <w:r w:rsidR="000D73E9">
        <w:rPr>
          <w:rFonts w:hint="eastAsia"/>
        </w:rPr>
        <w:t>村</w:t>
      </w:r>
      <w:r w:rsidR="00BE0AC6">
        <w:rPr>
          <w:rFonts w:hint="eastAsia"/>
        </w:rPr>
        <w:t>で、その質は</w:t>
      </w:r>
      <w:r w:rsidR="00E3062A">
        <w:rPr>
          <w:rFonts w:hint="eastAsia"/>
        </w:rPr>
        <w:t>市町</w:t>
      </w:r>
      <w:r w:rsidR="000D73E9">
        <w:rPr>
          <w:rFonts w:hint="eastAsia"/>
        </w:rPr>
        <w:t>村によって</w:t>
      </w:r>
      <w:r w:rsidR="00BE0AC6">
        <w:rPr>
          <w:rFonts w:hint="eastAsia"/>
        </w:rPr>
        <w:t>大きく異なっている。</w:t>
      </w:r>
      <w:r w:rsidR="00BE0AC6">
        <w:rPr>
          <w:rStyle w:val="a8"/>
        </w:rPr>
        <w:endnoteReference w:id="90"/>
      </w:r>
      <w:r w:rsidR="007B715D">
        <w:rPr>
          <w:rFonts w:hint="eastAsia"/>
        </w:rPr>
        <w:t>個別計画とコーディネーターを利用する資格のある障害のある人の多くは、そうした計画もコーディネーターも与えられ　　　　　　　なかったり、書類上</w:t>
      </w:r>
      <w:r>
        <w:rPr>
          <w:rFonts w:hint="eastAsia"/>
        </w:rPr>
        <w:t>で</w:t>
      </w:r>
      <w:r w:rsidR="007B715D">
        <w:rPr>
          <w:rFonts w:hint="eastAsia"/>
        </w:rPr>
        <w:t>のみ計画が存在</w:t>
      </w:r>
      <w:r>
        <w:rPr>
          <w:rFonts w:hint="eastAsia"/>
        </w:rPr>
        <w:t>し</w:t>
      </w:r>
      <w:r w:rsidR="007B715D">
        <w:rPr>
          <w:rFonts w:hint="eastAsia"/>
        </w:rPr>
        <w:t>、実践はされ</w:t>
      </w:r>
      <w:r>
        <w:rPr>
          <w:rFonts w:hint="eastAsia"/>
        </w:rPr>
        <w:t>ないという経験をし</w:t>
      </w:r>
      <w:r w:rsidR="007B715D">
        <w:rPr>
          <w:rFonts w:hint="eastAsia"/>
        </w:rPr>
        <w:t>たり</w:t>
      </w:r>
      <w:r>
        <w:rPr>
          <w:rFonts w:hint="eastAsia"/>
        </w:rPr>
        <w:t>してい</w:t>
      </w:r>
      <w:r w:rsidR="007B715D">
        <w:rPr>
          <w:rFonts w:hint="eastAsia"/>
        </w:rPr>
        <w:t>る。</w:t>
      </w:r>
      <w:r w:rsidR="007153AD">
        <w:rPr>
          <w:rStyle w:val="a8"/>
        </w:rPr>
        <w:endnoteReference w:id="91"/>
      </w:r>
    </w:p>
    <w:p w14:paraId="0C0C0836" w14:textId="1F509802" w:rsidR="007153AD" w:rsidRDefault="003457FF" w:rsidP="0017619F">
      <w:pPr>
        <w:pStyle w:val="af0"/>
        <w:numPr>
          <w:ilvl w:val="0"/>
          <w:numId w:val="4"/>
        </w:numPr>
        <w:ind w:leftChars="0"/>
      </w:pPr>
      <w:r>
        <w:rPr>
          <w:rFonts w:hint="eastAsia"/>
        </w:rPr>
        <w:t>障害のある子どものための</w:t>
      </w:r>
      <w:r w:rsidR="00423D42">
        <w:rPr>
          <w:rFonts w:hint="eastAsia"/>
        </w:rPr>
        <w:t>介護</w:t>
      </w:r>
      <w:r>
        <w:rPr>
          <w:rFonts w:hint="eastAsia"/>
        </w:rPr>
        <w:t>施設で生活してい</w:t>
      </w:r>
      <w:r w:rsidR="00E15101">
        <w:rPr>
          <w:rFonts w:hint="eastAsia"/>
        </w:rPr>
        <w:t>る、或いは、</w:t>
      </w:r>
      <w:r>
        <w:rPr>
          <w:rFonts w:hint="eastAsia"/>
        </w:rPr>
        <w:t>レスパイトケアを受けている</w:t>
      </w:r>
      <w:r w:rsidR="007153AD">
        <w:rPr>
          <w:rFonts w:hint="eastAsia"/>
        </w:rPr>
        <w:t>子ども</w:t>
      </w:r>
      <w:r w:rsidR="00423D42">
        <w:rPr>
          <w:rFonts w:hint="eastAsia"/>
        </w:rPr>
        <w:t>と</w:t>
      </w:r>
      <w:r w:rsidR="007153AD">
        <w:rPr>
          <w:rFonts w:hint="eastAsia"/>
        </w:rPr>
        <w:t>18</w:t>
      </w:r>
      <w:r w:rsidR="007153AD">
        <w:rPr>
          <w:rFonts w:hint="eastAsia"/>
        </w:rPr>
        <w:t>歳未満の若者</w:t>
      </w:r>
      <w:r>
        <w:rPr>
          <w:rFonts w:hint="eastAsia"/>
        </w:rPr>
        <w:t>は</w:t>
      </w:r>
      <w:r>
        <w:rPr>
          <w:rStyle w:val="a8"/>
        </w:rPr>
        <w:endnoteReference w:id="92"/>
      </w:r>
      <w:r>
        <w:rPr>
          <w:rFonts w:hint="eastAsia"/>
        </w:rPr>
        <w:t>、程度の差はあるが、幼少期を両親</w:t>
      </w:r>
      <w:r w:rsidR="00E15101">
        <w:rPr>
          <w:rFonts w:hint="eastAsia"/>
        </w:rPr>
        <w:t>以外</w:t>
      </w:r>
      <w:r>
        <w:rPr>
          <w:rFonts w:hint="eastAsia"/>
        </w:rPr>
        <w:t>の介護者とともに施設で過ごしている。</w:t>
      </w:r>
      <w:r w:rsidR="00B37F20">
        <w:rPr>
          <w:rStyle w:val="a8"/>
        </w:rPr>
        <w:endnoteReference w:id="93"/>
      </w:r>
      <w:r w:rsidR="00B37F20">
        <w:rPr>
          <w:rFonts w:hint="eastAsia"/>
        </w:rPr>
        <w:t>児童</w:t>
      </w:r>
      <w:r w:rsidR="00423D42">
        <w:rPr>
          <w:rFonts w:hint="eastAsia"/>
        </w:rPr>
        <w:t>介護</w:t>
      </w:r>
      <w:r w:rsidR="00B37F20">
        <w:rPr>
          <w:rFonts w:hint="eastAsia"/>
        </w:rPr>
        <w:t>施設</w:t>
      </w:r>
      <w:r w:rsidR="00492B46">
        <w:rPr>
          <w:rFonts w:hint="eastAsia"/>
        </w:rPr>
        <w:t>（</w:t>
      </w:r>
      <w:r w:rsidR="00492B46" w:rsidRPr="00492B46">
        <w:t>children’s care homes</w:t>
      </w:r>
      <w:r w:rsidR="00492B46">
        <w:rPr>
          <w:rFonts w:hint="eastAsia"/>
        </w:rPr>
        <w:t>）</w:t>
      </w:r>
      <w:r w:rsidR="00B37F20">
        <w:rPr>
          <w:rFonts w:hint="eastAsia"/>
        </w:rPr>
        <w:t>の数は</w:t>
      </w:r>
      <w:r w:rsidR="00E15101">
        <w:rPr>
          <w:rFonts w:hint="eastAsia"/>
        </w:rPr>
        <w:t>増加し</w:t>
      </w:r>
      <w:r w:rsidR="00B37F20">
        <w:rPr>
          <w:rFonts w:hint="eastAsia"/>
        </w:rPr>
        <w:t>た。</w:t>
      </w:r>
      <w:r w:rsidR="00B37F20">
        <w:rPr>
          <w:rStyle w:val="a8"/>
        </w:rPr>
        <w:endnoteReference w:id="94"/>
      </w:r>
      <w:r w:rsidR="00B37F20">
        <w:rPr>
          <w:rFonts w:hint="eastAsia"/>
        </w:rPr>
        <w:t>2011</w:t>
      </w:r>
      <w:r w:rsidR="00B37F20">
        <w:rPr>
          <w:rFonts w:hint="eastAsia"/>
        </w:rPr>
        <w:t>年の数字によれば、およそ</w:t>
      </w:r>
      <w:r w:rsidR="00B37F20">
        <w:rPr>
          <w:rFonts w:hint="eastAsia"/>
        </w:rPr>
        <w:t>250</w:t>
      </w:r>
      <w:r w:rsidR="00B37F20">
        <w:rPr>
          <w:rFonts w:hint="eastAsia"/>
        </w:rPr>
        <w:t>人の子どもが児童</w:t>
      </w:r>
      <w:r w:rsidR="00423D42">
        <w:rPr>
          <w:rFonts w:hint="eastAsia"/>
        </w:rPr>
        <w:t>介護</w:t>
      </w:r>
      <w:r w:rsidR="00B37F20">
        <w:rPr>
          <w:rFonts w:hint="eastAsia"/>
        </w:rPr>
        <w:t>施設で</w:t>
      </w:r>
      <w:r w:rsidR="008C35AF">
        <w:rPr>
          <w:rFonts w:hint="eastAsia"/>
        </w:rPr>
        <w:t>永続</w:t>
      </w:r>
      <w:r w:rsidR="00B37F20">
        <w:rPr>
          <w:rFonts w:hint="eastAsia"/>
        </w:rPr>
        <w:t>的に生活しており、レスパイトケアを受けられる場所はおよそ</w:t>
      </w:r>
      <w:r w:rsidR="00B37F20">
        <w:rPr>
          <w:rFonts w:hint="eastAsia"/>
        </w:rPr>
        <w:t>1,000</w:t>
      </w:r>
      <w:r w:rsidR="00B37F20">
        <w:rPr>
          <w:rFonts w:hint="eastAsia"/>
        </w:rPr>
        <w:t>箇所あった。</w:t>
      </w:r>
      <w:r w:rsidR="00B37F20">
        <w:rPr>
          <w:rStyle w:val="a8"/>
        </w:rPr>
        <w:endnoteReference w:id="95"/>
      </w:r>
      <w:r w:rsidR="00B37F20">
        <w:rPr>
          <w:rFonts w:hint="eastAsia"/>
        </w:rPr>
        <w:t>2007</w:t>
      </w:r>
      <w:r w:rsidR="00B37F20">
        <w:rPr>
          <w:rFonts w:hint="eastAsia"/>
        </w:rPr>
        <w:t>年の調査から</w:t>
      </w:r>
      <w:r w:rsidR="008C35AF">
        <w:rPr>
          <w:rFonts w:hint="eastAsia"/>
        </w:rPr>
        <w:t>は</w:t>
      </w:r>
      <w:r w:rsidR="00B37F20">
        <w:rPr>
          <w:rFonts w:hint="eastAsia"/>
        </w:rPr>
        <w:t>、親</w:t>
      </w:r>
      <w:r w:rsidR="00492990">
        <w:rPr>
          <w:rFonts w:hint="eastAsia"/>
        </w:rPr>
        <w:t>たち</w:t>
      </w:r>
      <w:r w:rsidR="00BA2003">
        <w:rPr>
          <w:rFonts w:hint="eastAsia"/>
        </w:rPr>
        <w:t>は当初</w:t>
      </w:r>
      <w:r w:rsidR="008C35AF">
        <w:rPr>
          <w:rFonts w:hint="eastAsia"/>
        </w:rPr>
        <w:t>、</w:t>
      </w:r>
      <w:r w:rsidR="00B37F20">
        <w:rPr>
          <w:rFonts w:hint="eastAsia"/>
        </w:rPr>
        <w:t>子どもが自宅で生活することを望んでい</w:t>
      </w:r>
      <w:r w:rsidR="00BA2003">
        <w:rPr>
          <w:rFonts w:hint="eastAsia"/>
        </w:rPr>
        <w:t>たが</w:t>
      </w:r>
      <w:r w:rsidR="00B37F20">
        <w:rPr>
          <w:rFonts w:hint="eastAsia"/>
        </w:rPr>
        <w:t>、</w:t>
      </w:r>
      <w:r w:rsidR="00E3062A">
        <w:rPr>
          <w:rFonts w:hint="eastAsia"/>
        </w:rPr>
        <w:t>市町</w:t>
      </w:r>
      <w:r w:rsidR="00B37F20">
        <w:rPr>
          <w:rFonts w:hint="eastAsia"/>
        </w:rPr>
        <w:t>村による適切なサービスが提供されないため、結局</w:t>
      </w:r>
      <w:r w:rsidR="00BA2003">
        <w:rPr>
          <w:rFonts w:hint="eastAsia"/>
        </w:rPr>
        <w:t>、</w:t>
      </w:r>
      <w:r w:rsidR="00B37F20">
        <w:rPr>
          <w:rFonts w:hint="eastAsia"/>
        </w:rPr>
        <w:t>児童</w:t>
      </w:r>
      <w:r w:rsidR="008C35AF">
        <w:rPr>
          <w:rFonts w:hint="eastAsia"/>
        </w:rPr>
        <w:t>介護</w:t>
      </w:r>
      <w:r w:rsidR="00B37F20">
        <w:rPr>
          <w:rFonts w:hint="eastAsia"/>
        </w:rPr>
        <w:t>施設が唯一の代替手段</w:t>
      </w:r>
      <w:r w:rsidR="00BA2003">
        <w:rPr>
          <w:rFonts w:hint="eastAsia"/>
        </w:rPr>
        <w:t>だ</w:t>
      </w:r>
      <w:r w:rsidR="00B37F20">
        <w:rPr>
          <w:rFonts w:hint="eastAsia"/>
        </w:rPr>
        <w:t>と考え</w:t>
      </w:r>
      <w:r w:rsidR="00BA2003">
        <w:rPr>
          <w:rFonts w:hint="eastAsia"/>
        </w:rPr>
        <w:t>て</w:t>
      </w:r>
      <w:r w:rsidR="00B37F20">
        <w:rPr>
          <w:rFonts w:hint="eastAsia"/>
        </w:rPr>
        <w:t>い</w:t>
      </w:r>
      <w:r w:rsidR="00BA2003">
        <w:rPr>
          <w:rFonts w:hint="eastAsia"/>
        </w:rPr>
        <w:t>ることがわかった</w:t>
      </w:r>
      <w:r w:rsidR="00B37F20">
        <w:rPr>
          <w:rFonts w:hint="eastAsia"/>
        </w:rPr>
        <w:t>。</w:t>
      </w:r>
      <w:r w:rsidR="00BA2003">
        <w:rPr>
          <w:rStyle w:val="a8"/>
        </w:rPr>
        <w:endnoteReference w:id="96"/>
      </w:r>
      <w:r w:rsidR="00BA2003">
        <w:rPr>
          <w:rFonts w:hint="eastAsia"/>
        </w:rPr>
        <w:t>児童</w:t>
      </w:r>
      <w:r w:rsidR="008C35AF">
        <w:rPr>
          <w:rFonts w:hint="eastAsia"/>
        </w:rPr>
        <w:t>介護</w:t>
      </w:r>
      <w:r w:rsidR="00BA2003">
        <w:rPr>
          <w:rFonts w:hint="eastAsia"/>
        </w:rPr>
        <w:t>施設に対する監督機関によるチェックから</w:t>
      </w:r>
      <w:r w:rsidR="008C35AF">
        <w:rPr>
          <w:rFonts w:hint="eastAsia"/>
        </w:rPr>
        <w:t>は</w:t>
      </w:r>
      <w:r w:rsidR="00BA2003">
        <w:rPr>
          <w:rFonts w:hint="eastAsia"/>
        </w:rPr>
        <w:t>、</w:t>
      </w:r>
      <w:r w:rsidR="00BA2003">
        <w:rPr>
          <w:rFonts w:hint="eastAsia"/>
        </w:rPr>
        <w:t>4</w:t>
      </w:r>
      <w:r w:rsidR="00BA2003">
        <w:rPr>
          <w:rFonts w:hint="eastAsia"/>
        </w:rPr>
        <w:t>件の事業のうち</w:t>
      </w:r>
      <w:r w:rsidR="00BA2003">
        <w:rPr>
          <w:rFonts w:hint="eastAsia"/>
        </w:rPr>
        <w:t>3</w:t>
      </w:r>
      <w:r w:rsidR="00BA2003">
        <w:rPr>
          <w:rFonts w:hint="eastAsia"/>
        </w:rPr>
        <w:t>件で規則違反があったことが明らかになった。</w:t>
      </w:r>
      <w:r w:rsidR="00BA2003">
        <w:rPr>
          <w:rStyle w:val="a8"/>
        </w:rPr>
        <w:endnoteReference w:id="97"/>
      </w:r>
      <w:r w:rsidR="00E8202E">
        <w:rPr>
          <w:rFonts w:hint="eastAsia"/>
        </w:rPr>
        <w:t>チェックの結果、多くの</w:t>
      </w:r>
      <w:r w:rsidR="00E3062A">
        <w:rPr>
          <w:rFonts w:hint="eastAsia"/>
        </w:rPr>
        <w:t>市町</w:t>
      </w:r>
      <w:r w:rsidR="00E8202E">
        <w:rPr>
          <w:rFonts w:hint="eastAsia"/>
        </w:rPr>
        <w:t>村で</w:t>
      </w:r>
      <w:r w:rsidR="00065329">
        <w:rPr>
          <w:rFonts w:hint="eastAsia"/>
        </w:rPr>
        <w:t>、</w:t>
      </w:r>
      <w:r w:rsidR="00E8202E">
        <w:rPr>
          <w:rFonts w:hint="eastAsia"/>
        </w:rPr>
        <w:t>適切な専門家による運営が行われておらず、児童</w:t>
      </w:r>
      <w:r w:rsidR="008C35AF">
        <w:rPr>
          <w:rFonts w:hint="eastAsia"/>
        </w:rPr>
        <w:t>介護</w:t>
      </w:r>
      <w:r w:rsidR="00E8202E">
        <w:rPr>
          <w:rFonts w:hint="eastAsia"/>
        </w:rPr>
        <w:t>施設のサービスの質に</w:t>
      </w:r>
      <w:r w:rsidR="00065329">
        <w:rPr>
          <w:rFonts w:hint="eastAsia"/>
        </w:rPr>
        <w:t>対する関心もほとんどな</w:t>
      </w:r>
      <w:r w:rsidR="008C35AF">
        <w:rPr>
          <w:rFonts w:hint="eastAsia"/>
        </w:rPr>
        <w:t>いことがわかった</w:t>
      </w:r>
      <w:r w:rsidR="00065329">
        <w:rPr>
          <w:rFonts w:hint="eastAsia"/>
        </w:rPr>
        <w:t>。</w:t>
      </w:r>
    </w:p>
    <w:p w14:paraId="399C5C16" w14:textId="18424E48" w:rsidR="00086956" w:rsidRDefault="00FE7805" w:rsidP="00086956">
      <w:pPr>
        <w:pStyle w:val="af0"/>
        <w:numPr>
          <w:ilvl w:val="0"/>
          <w:numId w:val="4"/>
        </w:numPr>
        <w:ind w:leftChars="0"/>
      </w:pPr>
      <w:r>
        <w:rPr>
          <w:rFonts w:hint="eastAsia"/>
        </w:rPr>
        <w:t>障害者団体は</w:t>
      </w:r>
      <w:r w:rsidR="009521D4">
        <w:rPr>
          <w:rFonts w:hint="eastAsia"/>
        </w:rPr>
        <w:t>、</w:t>
      </w:r>
      <w:r>
        <w:rPr>
          <w:rFonts w:hint="eastAsia"/>
        </w:rPr>
        <w:t>児童福祉</w:t>
      </w:r>
      <w:r>
        <w:rPr>
          <w:rStyle w:val="a8"/>
        </w:rPr>
        <w:endnoteReference w:id="98"/>
      </w:r>
      <w:r w:rsidR="00C249A9">
        <w:rPr>
          <w:rFonts w:hint="eastAsia"/>
        </w:rPr>
        <w:t>サービスにおいて</w:t>
      </w:r>
      <w:r>
        <w:rPr>
          <w:rFonts w:hint="eastAsia"/>
        </w:rPr>
        <w:t>障害に関する専門知識が欠けていることを懸念している。</w:t>
      </w:r>
      <w:r>
        <w:rPr>
          <w:rStyle w:val="a8"/>
        </w:rPr>
        <w:endnoteReference w:id="99"/>
      </w:r>
      <w:r w:rsidR="00086956">
        <w:rPr>
          <w:rFonts w:hint="eastAsia"/>
        </w:rPr>
        <w:t>児童</w:t>
      </w:r>
      <w:r w:rsidR="0067520E">
        <w:rPr>
          <w:rFonts w:hint="eastAsia"/>
        </w:rPr>
        <w:t>保護</w:t>
      </w:r>
      <w:r w:rsidR="00086956">
        <w:rPr>
          <w:rFonts w:hint="eastAsia"/>
        </w:rPr>
        <w:t>などの</w:t>
      </w:r>
      <w:r w:rsidR="000D4D12">
        <w:rPr>
          <w:rFonts w:hint="eastAsia"/>
        </w:rPr>
        <w:t>介入</w:t>
      </w:r>
      <w:r w:rsidR="00086956">
        <w:rPr>
          <w:rFonts w:hint="eastAsia"/>
        </w:rPr>
        <w:t>は、他の支援策が試される前に実施される。</w:t>
      </w:r>
      <w:r w:rsidR="00086956">
        <w:rPr>
          <w:rStyle w:val="a8"/>
        </w:rPr>
        <w:endnoteReference w:id="100"/>
      </w:r>
      <w:r w:rsidR="00086956">
        <w:rPr>
          <w:rFonts w:hint="eastAsia"/>
        </w:rPr>
        <w:t>障害のある子どもを持つ家族への介入に関連した児童福祉サービスについては、ほとんど知られていない。</w:t>
      </w:r>
      <w:r w:rsidR="00086956">
        <w:rPr>
          <w:rStyle w:val="a8"/>
        </w:rPr>
        <w:endnoteReference w:id="101"/>
      </w:r>
    </w:p>
    <w:p w14:paraId="306D999C" w14:textId="5BA8F06C" w:rsidR="00086956" w:rsidRDefault="0070219A" w:rsidP="00086956">
      <w:pPr>
        <w:pStyle w:val="af0"/>
        <w:numPr>
          <w:ilvl w:val="1"/>
          <w:numId w:val="3"/>
        </w:numPr>
        <w:ind w:leftChars="0"/>
      </w:pPr>
      <w:r>
        <w:rPr>
          <w:rFonts w:hint="eastAsia"/>
        </w:rPr>
        <w:t>障害のある子どもを持つ家族が、必要な支援</w:t>
      </w:r>
      <w:r w:rsidR="00492990">
        <w:rPr>
          <w:rFonts w:hint="eastAsia"/>
        </w:rPr>
        <w:t>と</w:t>
      </w:r>
      <w:r>
        <w:rPr>
          <w:rFonts w:hint="eastAsia"/>
        </w:rPr>
        <w:t>まとまりのあるわかりやすいサービスを受けること、また、条約に基づき、すべての</w:t>
      </w:r>
      <w:r w:rsidR="00E3062A">
        <w:rPr>
          <w:rFonts w:hint="eastAsia"/>
        </w:rPr>
        <w:t>市町</w:t>
      </w:r>
      <w:r>
        <w:rPr>
          <w:rFonts w:hint="eastAsia"/>
        </w:rPr>
        <w:t>村において、個別計画</w:t>
      </w:r>
      <w:r w:rsidR="00B55AA6">
        <w:rPr>
          <w:rFonts w:hint="eastAsia"/>
        </w:rPr>
        <w:t>と</w:t>
      </w:r>
      <w:r>
        <w:rPr>
          <w:rFonts w:hint="eastAsia"/>
        </w:rPr>
        <w:t>コーディネーターに対する権利が、実際に</w:t>
      </w:r>
      <w:r w:rsidR="00B55AA6">
        <w:rPr>
          <w:rFonts w:hint="eastAsia"/>
        </w:rPr>
        <w:t>、</w:t>
      </w:r>
      <w:r>
        <w:rPr>
          <w:rFonts w:hint="eastAsia"/>
        </w:rPr>
        <w:t>かつ</w:t>
      </w:r>
      <w:r w:rsidR="00B55AA6">
        <w:rPr>
          <w:rFonts w:hint="eastAsia"/>
        </w:rPr>
        <w:t>、目的どおりに</w:t>
      </w:r>
      <w:r>
        <w:rPr>
          <w:rFonts w:hint="eastAsia"/>
        </w:rPr>
        <w:t>実現されることを確保するために</w:t>
      </w:r>
      <w:r w:rsidR="00B55AA6">
        <w:rPr>
          <w:rFonts w:hint="eastAsia"/>
        </w:rPr>
        <w:t>、</w:t>
      </w:r>
      <w:r>
        <w:rPr>
          <w:rFonts w:hint="eastAsia"/>
        </w:rPr>
        <w:t>どのような方策が講じられるのか</w:t>
      </w:r>
      <w:r w:rsidR="00B55AA6">
        <w:rPr>
          <w:rFonts w:hint="eastAsia"/>
        </w:rPr>
        <w:t>？</w:t>
      </w:r>
    </w:p>
    <w:p w14:paraId="7DD71DC3" w14:textId="5DD4C1BD" w:rsidR="00B55AA6" w:rsidRDefault="00B55AA6" w:rsidP="00086956">
      <w:pPr>
        <w:pStyle w:val="af0"/>
        <w:numPr>
          <w:ilvl w:val="1"/>
          <w:numId w:val="3"/>
        </w:numPr>
        <w:ind w:leftChars="0"/>
      </w:pPr>
      <w:r>
        <w:rPr>
          <w:rFonts w:hint="eastAsia"/>
        </w:rPr>
        <w:t>子どもが自己の障害又は父母の障害を理由に、児童</w:t>
      </w:r>
      <w:r w:rsidR="008C35AF">
        <w:rPr>
          <w:rFonts w:hint="eastAsia"/>
        </w:rPr>
        <w:t>介護</w:t>
      </w:r>
      <w:r>
        <w:rPr>
          <w:rFonts w:hint="eastAsia"/>
        </w:rPr>
        <w:t>施設への入所又は児童福祉サービス</w:t>
      </w:r>
      <w:r w:rsidR="00D97F1C">
        <w:rPr>
          <w:rFonts w:hint="eastAsia"/>
        </w:rPr>
        <w:t>を通じ</w:t>
      </w:r>
      <w:r w:rsidR="002B3A2D">
        <w:rPr>
          <w:rFonts w:hint="eastAsia"/>
        </w:rPr>
        <w:t>た</w:t>
      </w:r>
      <w:r>
        <w:rPr>
          <w:rFonts w:hint="eastAsia"/>
        </w:rPr>
        <w:t>保護</w:t>
      </w:r>
      <w:r w:rsidR="002B3A2D">
        <w:rPr>
          <w:rFonts w:hint="eastAsia"/>
        </w:rPr>
        <w:t>により</w:t>
      </w:r>
      <w:r>
        <w:rPr>
          <w:rFonts w:hint="eastAsia"/>
        </w:rPr>
        <w:t>父母から分離されることを防止するために、どのような方策が講じられるのか？</w:t>
      </w:r>
    </w:p>
    <w:p w14:paraId="786F9E1C" w14:textId="36BC883D" w:rsidR="00B55AA6" w:rsidRPr="00B64BF7" w:rsidRDefault="00B55AA6" w:rsidP="00B55AA6">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24</w:t>
      </w:r>
      <w:r w:rsidRPr="00B64BF7">
        <w:rPr>
          <w:rFonts w:asciiTheme="majorEastAsia" w:eastAsiaTheme="majorEastAsia" w:hAnsiTheme="majorEastAsia" w:hint="eastAsia"/>
        </w:rPr>
        <w:t>条：教育</w:t>
      </w:r>
    </w:p>
    <w:p w14:paraId="17764CD1" w14:textId="0014F01C" w:rsidR="00086956" w:rsidRDefault="00B55AA6" w:rsidP="00086956">
      <w:pPr>
        <w:pStyle w:val="af0"/>
        <w:numPr>
          <w:ilvl w:val="0"/>
          <w:numId w:val="4"/>
        </w:numPr>
        <w:ind w:leftChars="0"/>
      </w:pPr>
      <w:r>
        <w:rPr>
          <w:rFonts w:hint="eastAsia"/>
        </w:rPr>
        <w:t>教育法</w:t>
      </w:r>
      <w:r>
        <w:rPr>
          <w:rStyle w:val="a8"/>
        </w:rPr>
        <w:endnoteReference w:id="102"/>
      </w:r>
      <w:r w:rsidR="00411432">
        <w:rPr>
          <w:rFonts w:hint="eastAsia"/>
        </w:rPr>
        <w:t>に</w:t>
      </w:r>
      <w:r w:rsidR="00240F34">
        <w:rPr>
          <w:rFonts w:hint="eastAsia"/>
        </w:rPr>
        <w:t>は、</w:t>
      </w:r>
      <w:r w:rsidR="003E3461">
        <w:rPr>
          <w:rFonts w:hint="eastAsia"/>
        </w:rPr>
        <w:t>適応</w:t>
      </w:r>
      <w:r w:rsidR="00240F34">
        <w:rPr>
          <w:rFonts w:hint="eastAsia"/>
        </w:rPr>
        <w:t>教育</w:t>
      </w:r>
      <w:r w:rsidR="00884CBF">
        <w:rPr>
          <w:rFonts w:hint="eastAsia"/>
        </w:rPr>
        <w:t>に対する普遍的</w:t>
      </w:r>
      <w:r w:rsidR="00240F34">
        <w:rPr>
          <w:rFonts w:hint="eastAsia"/>
        </w:rPr>
        <w:t>権利と、</w:t>
      </w:r>
      <w:r w:rsidR="003E3461">
        <w:rPr>
          <w:rFonts w:hint="eastAsia"/>
        </w:rPr>
        <w:t>診断</w:t>
      </w:r>
      <w:r w:rsidR="000D1802">
        <w:rPr>
          <w:rFonts w:hint="eastAsia"/>
        </w:rPr>
        <w:t>と</w:t>
      </w:r>
      <w:r w:rsidR="003E3461">
        <w:rPr>
          <w:rFonts w:hint="eastAsia"/>
        </w:rPr>
        <w:t>は関係</w:t>
      </w:r>
      <w:r w:rsidR="00884CBF">
        <w:rPr>
          <w:rFonts w:hint="eastAsia"/>
        </w:rPr>
        <w:t>のない、</w:t>
      </w:r>
      <w:r w:rsidR="00240F34">
        <w:rPr>
          <w:rFonts w:hint="eastAsia"/>
        </w:rPr>
        <w:t>特別支援教育</w:t>
      </w:r>
      <w:r w:rsidR="00884CBF">
        <w:rPr>
          <w:rFonts w:hint="eastAsia"/>
        </w:rPr>
        <w:t>に対する個別的</w:t>
      </w:r>
      <w:r w:rsidR="00411432">
        <w:rPr>
          <w:rFonts w:hint="eastAsia"/>
        </w:rPr>
        <w:t>権利</w:t>
      </w:r>
      <w:r w:rsidR="00240F34">
        <w:rPr>
          <w:rFonts w:hint="eastAsia"/>
        </w:rPr>
        <w:t>が</w:t>
      </w:r>
      <w:r w:rsidR="00411432">
        <w:rPr>
          <w:rFonts w:hint="eastAsia"/>
        </w:rPr>
        <w:t>定められている。</w:t>
      </w:r>
      <w:r w:rsidR="00884CBF">
        <w:rPr>
          <w:rFonts w:hint="eastAsia"/>
        </w:rPr>
        <w:t>特別支援教育を受ける資格のある生徒は、個人による意思決定及び苦情申立の仕組み</w:t>
      </w:r>
      <w:r w:rsidR="0011681D">
        <w:rPr>
          <w:rFonts w:hint="eastAsia"/>
        </w:rPr>
        <w:t>へのアクセス</w:t>
      </w:r>
      <w:r w:rsidR="00884CBF">
        <w:rPr>
          <w:rFonts w:hint="eastAsia"/>
        </w:rPr>
        <w:t>を含む、強力な手続上の権利を有する。しかし、</w:t>
      </w:r>
      <w:r w:rsidR="00DB2EAC">
        <w:rPr>
          <w:rFonts w:hint="eastAsia"/>
        </w:rPr>
        <w:t>実際には</w:t>
      </w:r>
      <w:r w:rsidR="00884CBF">
        <w:rPr>
          <w:rFonts w:hint="eastAsia"/>
        </w:rPr>
        <w:t>法的権利が常に</w:t>
      </w:r>
      <w:r w:rsidR="00DB2EAC">
        <w:rPr>
          <w:rFonts w:hint="eastAsia"/>
        </w:rPr>
        <w:t>守られる</w:t>
      </w:r>
      <w:r w:rsidR="00884CBF">
        <w:rPr>
          <w:rFonts w:hint="eastAsia"/>
        </w:rPr>
        <w:t>わけではなく、地域により大きな違いがある。</w:t>
      </w:r>
      <w:r w:rsidR="00884CBF">
        <w:rPr>
          <w:rStyle w:val="a8"/>
        </w:rPr>
        <w:endnoteReference w:id="103"/>
      </w:r>
      <w:r w:rsidR="00884CBF">
        <w:rPr>
          <w:rFonts w:hint="eastAsia"/>
        </w:rPr>
        <w:t>特別支援教育は</w:t>
      </w:r>
      <w:r w:rsidR="00B01834">
        <w:rPr>
          <w:rFonts w:hint="eastAsia"/>
        </w:rPr>
        <w:t>、</w:t>
      </w:r>
      <w:r w:rsidR="00884CBF">
        <w:rPr>
          <w:rFonts w:hint="eastAsia"/>
        </w:rPr>
        <w:t>インクルーシブ</w:t>
      </w:r>
      <w:r w:rsidR="00492990">
        <w:rPr>
          <w:rFonts w:hint="eastAsia"/>
        </w:rPr>
        <w:t>型と分離型の</w:t>
      </w:r>
      <w:r w:rsidR="00B01834">
        <w:rPr>
          <w:rFonts w:hint="eastAsia"/>
        </w:rPr>
        <w:t>いずれかの可能性があるが、障害のある生徒は他の生徒と比べて、別の場所で指導されること</w:t>
      </w:r>
      <w:r w:rsidR="00DB2EAC">
        <w:rPr>
          <w:rFonts w:hint="eastAsia"/>
        </w:rPr>
        <w:t>の方が</w:t>
      </w:r>
      <w:r w:rsidR="00B01834">
        <w:rPr>
          <w:rFonts w:hint="eastAsia"/>
        </w:rPr>
        <w:t>多い。</w:t>
      </w:r>
      <w:r w:rsidR="00B01834">
        <w:rPr>
          <w:rStyle w:val="a8"/>
        </w:rPr>
        <w:endnoteReference w:id="104"/>
      </w:r>
      <w:r w:rsidR="00B01834">
        <w:rPr>
          <w:rFonts w:hint="eastAsia"/>
        </w:rPr>
        <w:t>特別支援教育を受けている生徒の</w:t>
      </w:r>
      <w:r w:rsidR="00B01834">
        <w:rPr>
          <w:rFonts w:hint="eastAsia"/>
        </w:rPr>
        <w:t>60</w:t>
      </w:r>
      <w:r w:rsidR="00B01834">
        <w:rPr>
          <w:rFonts w:hint="eastAsia"/>
        </w:rPr>
        <w:t>パーセント以</w:t>
      </w:r>
      <w:r w:rsidR="00E34D88">
        <w:rPr>
          <w:rFonts w:hint="eastAsia"/>
        </w:rPr>
        <w:t>上が、アシスタントや</w:t>
      </w:r>
      <w:r w:rsidR="00EC37E2">
        <w:rPr>
          <w:rFonts w:hint="eastAsia"/>
        </w:rPr>
        <w:t>教員</w:t>
      </w:r>
      <w:r w:rsidR="00E34D88">
        <w:rPr>
          <w:rFonts w:hint="eastAsia"/>
        </w:rPr>
        <w:t>とともに、集団若しくは</w:t>
      </w:r>
      <w:r w:rsidR="00492990">
        <w:rPr>
          <w:rFonts w:hint="eastAsia"/>
        </w:rPr>
        <w:t>単独で</w:t>
      </w:r>
      <w:r w:rsidR="00B01834">
        <w:rPr>
          <w:rFonts w:hint="eastAsia"/>
        </w:rPr>
        <w:t>ほとんどの教育を受けている。</w:t>
      </w:r>
      <w:r w:rsidR="00B01834">
        <w:rPr>
          <w:rStyle w:val="a8"/>
        </w:rPr>
        <w:endnoteReference w:id="105"/>
      </w:r>
      <w:r w:rsidR="00E34D88">
        <w:rPr>
          <w:rFonts w:hint="eastAsia"/>
        </w:rPr>
        <w:t>中学校よりも高校</w:t>
      </w:r>
      <w:r w:rsidR="00492990">
        <w:rPr>
          <w:rFonts w:hint="eastAsia"/>
        </w:rPr>
        <w:t>の方が</w:t>
      </w:r>
      <w:r w:rsidR="00DB2EAC">
        <w:rPr>
          <w:rFonts w:hint="eastAsia"/>
        </w:rPr>
        <w:t>、分離策をとられて</w:t>
      </w:r>
      <w:r w:rsidR="00492990">
        <w:rPr>
          <w:rFonts w:hint="eastAsia"/>
        </w:rPr>
        <w:t>いる生徒が</w:t>
      </w:r>
      <w:r w:rsidR="00B01834">
        <w:rPr>
          <w:rFonts w:hint="eastAsia"/>
        </w:rPr>
        <w:t>多い。</w:t>
      </w:r>
      <w:r w:rsidR="00B01834">
        <w:rPr>
          <w:rStyle w:val="a8"/>
        </w:rPr>
        <w:endnoteReference w:id="106"/>
      </w:r>
    </w:p>
    <w:p w14:paraId="3D3D3A97" w14:textId="7CD1976B" w:rsidR="00E34D88" w:rsidRDefault="00E34D88" w:rsidP="00086956">
      <w:pPr>
        <w:pStyle w:val="af0"/>
        <w:numPr>
          <w:ilvl w:val="0"/>
          <w:numId w:val="4"/>
        </w:numPr>
        <w:ind w:leftChars="0"/>
      </w:pPr>
      <w:r>
        <w:rPr>
          <w:rFonts w:hint="eastAsia"/>
        </w:rPr>
        <w:t>特別支援教育の質はさまざまである。</w:t>
      </w:r>
      <w:r>
        <w:rPr>
          <w:rStyle w:val="a8"/>
        </w:rPr>
        <w:endnoteReference w:id="107"/>
      </w:r>
      <w:r w:rsidR="00D602C9">
        <w:rPr>
          <w:rFonts w:hint="eastAsia"/>
        </w:rPr>
        <w:t>多くの生徒が、幼稚園や学校で、教育能力のない職員に出会う。特別支援教育の半分はアシスタントによって行われている。</w:t>
      </w:r>
      <w:r w:rsidR="00D602C9">
        <w:rPr>
          <w:rStyle w:val="a8"/>
        </w:rPr>
        <w:endnoteReference w:id="108"/>
      </w:r>
    </w:p>
    <w:p w14:paraId="52281AB1" w14:textId="5AFF4497" w:rsidR="00491207" w:rsidRDefault="00251A4F" w:rsidP="00086956">
      <w:pPr>
        <w:pStyle w:val="af0"/>
        <w:numPr>
          <w:ilvl w:val="0"/>
          <w:numId w:val="4"/>
        </w:numPr>
        <w:ind w:leftChars="0"/>
      </w:pPr>
      <w:r>
        <w:rPr>
          <w:rFonts w:hint="eastAsia"/>
        </w:rPr>
        <w:t>障害のある人</w:t>
      </w:r>
      <w:r w:rsidR="00492990">
        <w:rPr>
          <w:rFonts w:hint="eastAsia"/>
        </w:rPr>
        <w:t>で高校を卒業する人</w:t>
      </w:r>
      <w:r>
        <w:rPr>
          <w:rFonts w:hint="eastAsia"/>
        </w:rPr>
        <w:t>は、障害のない</w:t>
      </w:r>
      <w:r w:rsidR="00491207">
        <w:rPr>
          <w:rFonts w:hint="eastAsia"/>
        </w:rPr>
        <w:t>人ほど多くはない。高校を卒業できない</w:t>
      </w:r>
      <w:r>
        <w:rPr>
          <w:rFonts w:hint="eastAsia"/>
        </w:rPr>
        <w:t>のは</w:t>
      </w:r>
      <w:r w:rsidR="00531931">
        <w:rPr>
          <w:rFonts w:hint="eastAsia"/>
        </w:rPr>
        <w:t>、一般</w:t>
      </w:r>
      <w:r w:rsidR="00491207">
        <w:rPr>
          <w:rFonts w:hint="eastAsia"/>
        </w:rPr>
        <w:t>の</w:t>
      </w:r>
      <w:r w:rsidR="00531931">
        <w:rPr>
          <w:rFonts w:hint="eastAsia"/>
        </w:rPr>
        <w:t>生徒</w:t>
      </w:r>
      <w:r>
        <w:rPr>
          <w:rFonts w:hint="eastAsia"/>
        </w:rPr>
        <w:t>の</w:t>
      </w:r>
      <w:r w:rsidR="00531931">
        <w:rPr>
          <w:rFonts w:hint="eastAsia"/>
        </w:rPr>
        <w:t>わずか</w:t>
      </w:r>
      <w:r w:rsidR="00531931">
        <w:rPr>
          <w:rFonts w:hint="eastAsia"/>
        </w:rPr>
        <w:t>17</w:t>
      </w:r>
      <w:r w:rsidR="00531931">
        <w:rPr>
          <w:rFonts w:hint="eastAsia"/>
        </w:rPr>
        <w:t>パーセントであるのに対して</w:t>
      </w:r>
      <w:r w:rsidR="00491207">
        <w:rPr>
          <w:rFonts w:hint="eastAsia"/>
        </w:rPr>
        <w:t>、</w:t>
      </w:r>
      <w:r w:rsidR="00531931">
        <w:rPr>
          <w:rFonts w:hint="eastAsia"/>
        </w:rPr>
        <w:t>身体障害のある生徒の場合</w:t>
      </w:r>
      <w:r w:rsidR="00B53EF3">
        <w:rPr>
          <w:rFonts w:hint="eastAsia"/>
        </w:rPr>
        <w:t>は</w:t>
      </w:r>
      <w:r w:rsidR="00531931">
        <w:rPr>
          <w:rFonts w:hint="eastAsia"/>
        </w:rPr>
        <w:t>64</w:t>
      </w:r>
      <w:r w:rsidR="00531931">
        <w:rPr>
          <w:rFonts w:hint="eastAsia"/>
        </w:rPr>
        <w:t>パーセント</w:t>
      </w:r>
      <w:r w:rsidR="00491207">
        <w:rPr>
          <w:rFonts w:hint="eastAsia"/>
        </w:rPr>
        <w:t>であ</w:t>
      </w:r>
      <w:r>
        <w:rPr>
          <w:rFonts w:hint="eastAsia"/>
        </w:rPr>
        <w:t>る</w:t>
      </w:r>
      <w:r w:rsidR="00491207">
        <w:rPr>
          <w:rFonts w:hint="eastAsia"/>
        </w:rPr>
        <w:t>。</w:t>
      </w:r>
      <w:r w:rsidR="00491207">
        <w:rPr>
          <w:rStyle w:val="a8"/>
        </w:rPr>
        <w:endnoteReference w:id="109"/>
      </w:r>
      <w:r w:rsidR="00CE7F86">
        <w:rPr>
          <w:rFonts w:hint="eastAsia"/>
        </w:rPr>
        <w:t>この結果、</w:t>
      </w:r>
      <w:r w:rsidR="00081107">
        <w:rPr>
          <w:rFonts w:hint="eastAsia"/>
        </w:rPr>
        <w:t>彼ら</w:t>
      </w:r>
      <w:r w:rsidR="00491207">
        <w:rPr>
          <w:rFonts w:hint="eastAsia"/>
        </w:rPr>
        <w:t>は職業訓練や</w:t>
      </w:r>
      <w:r w:rsidR="00F1661C">
        <w:rPr>
          <w:rFonts w:hint="eastAsia"/>
        </w:rPr>
        <w:t>高等</w:t>
      </w:r>
      <w:r w:rsidR="00491207">
        <w:rPr>
          <w:rFonts w:hint="eastAsia"/>
        </w:rPr>
        <w:t>教育</w:t>
      </w:r>
      <w:r w:rsidR="00CE7F86">
        <w:rPr>
          <w:rFonts w:hint="eastAsia"/>
        </w:rPr>
        <w:t>を受けるために出願することができない。</w:t>
      </w:r>
      <w:r w:rsidR="00CE7F86">
        <w:rPr>
          <w:rStyle w:val="a8"/>
        </w:rPr>
        <w:endnoteReference w:id="110"/>
      </w:r>
    </w:p>
    <w:p w14:paraId="3CB59BE7" w14:textId="0F93B513" w:rsidR="00EC37E2" w:rsidRDefault="00EC37E2" w:rsidP="00086956">
      <w:pPr>
        <w:pStyle w:val="af0"/>
        <w:numPr>
          <w:ilvl w:val="0"/>
          <w:numId w:val="4"/>
        </w:numPr>
        <w:ind w:leftChars="0"/>
      </w:pPr>
      <w:r>
        <w:rPr>
          <w:rFonts w:hint="eastAsia"/>
        </w:rPr>
        <w:t>教員</w:t>
      </w:r>
      <w:r w:rsidR="001D0335">
        <w:rPr>
          <w:rFonts w:hint="eastAsia"/>
        </w:rPr>
        <w:t>研修プログラム</w:t>
      </w:r>
      <w:r>
        <w:rPr>
          <w:rFonts w:hint="eastAsia"/>
        </w:rPr>
        <w:t>では、</w:t>
      </w:r>
      <w:r w:rsidR="00D36001">
        <w:rPr>
          <w:rFonts w:hint="eastAsia"/>
        </w:rPr>
        <w:t>教員がどのように</w:t>
      </w:r>
      <w:r w:rsidR="00C40350">
        <w:rPr>
          <w:rFonts w:hint="eastAsia"/>
        </w:rPr>
        <w:t>インクルーシブな適応教育を</w:t>
      </w:r>
      <w:r>
        <w:rPr>
          <w:rFonts w:hint="eastAsia"/>
        </w:rPr>
        <w:t>実施す</w:t>
      </w:r>
      <w:r w:rsidR="00C40350">
        <w:rPr>
          <w:rFonts w:hint="eastAsia"/>
        </w:rPr>
        <w:t>る</w:t>
      </w:r>
      <w:r>
        <w:rPr>
          <w:rFonts w:hint="eastAsia"/>
        </w:rPr>
        <w:t>べきかをほとんど重視していない。</w:t>
      </w:r>
      <w:r w:rsidR="008B0B54">
        <w:rPr>
          <w:rFonts w:hint="eastAsia"/>
        </w:rPr>
        <w:t>適応教育の専門的手法は、</w:t>
      </w:r>
      <w:r w:rsidR="00942085">
        <w:rPr>
          <w:rFonts w:hint="eastAsia"/>
        </w:rPr>
        <w:t>教員研修の枠組み</w:t>
      </w:r>
      <w:r w:rsidR="008B0B54">
        <w:rPr>
          <w:rFonts w:hint="eastAsia"/>
        </w:rPr>
        <w:t>計画</w:t>
      </w:r>
      <w:r w:rsidR="001D0335">
        <w:rPr>
          <w:rFonts w:hint="eastAsia"/>
        </w:rPr>
        <w:t>に含まれていない。特別支援教育のイニシアティブが、特別支援教育研修プログラム</w:t>
      </w:r>
      <w:r w:rsidR="00F1661C">
        <w:rPr>
          <w:rFonts w:hint="eastAsia"/>
        </w:rPr>
        <w:t>の</w:t>
      </w:r>
      <w:r w:rsidR="001D0335">
        <w:rPr>
          <w:rFonts w:hint="eastAsia"/>
        </w:rPr>
        <w:t>唯一のテーマである。</w:t>
      </w:r>
    </w:p>
    <w:p w14:paraId="7CA63070" w14:textId="3E4C150C" w:rsidR="003736CD" w:rsidRDefault="00EF78EE" w:rsidP="003736CD">
      <w:pPr>
        <w:pStyle w:val="af0"/>
        <w:numPr>
          <w:ilvl w:val="1"/>
          <w:numId w:val="3"/>
        </w:numPr>
        <w:ind w:leftChars="0"/>
      </w:pPr>
      <w:r>
        <w:rPr>
          <w:rFonts w:hint="eastAsia"/>
        </w:rPr>
        <w:t>学校制度における通常教育にさらに多くの</w:t>
      </w:r>
      <w:r w:rsidR="00BA27E4">
        <w:rPr>
          <w:rFonts w:hint="eastAsia"/>
        </w:rPr>
        <w:t>障害のある生徒を</w:t>
      </w:r>
      <w:r>
        <w:rPr>
          <w:rFonts w:hint="eastAsia"/>
        </w:rPr>
        <w:t>受け入れる</w:t>
      </w:r>
      <w:r w:rsidR="00BA27E4">
        <w:rPr>
          <w:rFonts w:hint="eastAsia"/>
        </w:rPr>
        <w:t>ために、</w:t>
      </w:r>
      <w:r w:rsidR="00735107">
        <w:rPr>
          <w:rFonts w:hint="eastAsia"/>
        </w:rPr>
        <w:t>どのような方策が講じられるのか？</w:t>
      </w:r>
      <w:r w:rsidR="00BA27E4">
        <w:rPr>
          <w:rFonts w:hint="eastAsia"/>
        </w:rPr>
        <w:t xml:space="preserve">　通常学校における質の高いインクルーシブ教育の構想</w:t>
      </w:r>
      <w:r w:rsidR="00D36001">
        <w:rPr>
          <w:rFonts w:hint="eastAsia"/>
        </w:rPr>
        <w:t>を</w:t>
      </w:r>
      <w:r w:rsidR="00BA27E4">
        <w:rPr>
          <w:rFonts w:hint="eastAsia"/>
        </w:rPr>
        <w:t>可能な限り高い水準で実現</w:t>
      </w:r>
      <w:r w:rsidR="00D36001">
        <w:rPr>
          <w:rFonts w:hint="eastAsia"/>
        </w:rPr>
        <w:t>するための</w:t>
      </w:r>
      <w:r w:rsidR="00081107">
        <w:rPr>
          <w:rFonts w:hint="eastAsia"/>
        </w:rPr>
        <w:t>教員</w:t>
      </w:r>
      <w:r w:rsidR="00BA27E4">
        <w:rPr>
          <w:rFonts w:hint="eastAsia"/>
        </w:rPr>
        <w:t>教育並びに研修を通じて、</w:t>
      </w:r>
      <w:r w:rsidR="00B53EF3">
        <w:rPr>
          <w:rFonts w:hint="eastAsia"/>
        </w:rPr>
        <w:t>校長、教員、専門家などのインクルージョン関連の資格及び能力が、</w:t>
      </w:r>
      <w:r w:rsidR="00BA27E4">
        <w:rPr>
          <w:rFonts w:hint="eastAsia"/>
        </w:rPr>
        <w:t>どのように保証されているのか、情報を提供してください。</w:t>
      </w:r>
    </w:p>
    <w:p w14:paraId="63421F69" w14:textId="7A9C3896" w:rsidR="00BB2B22" w:rsidRDefault="00220E3E" w:rsidP="003736CD">
      <w:pPr>
        <w:pStyle w:val="af0"/>
        <w:numPr>
          <w:ilvl w:val="1"/>
          <w:numId w:val="3"/>
        </w:numPr>
        <w:ind w:leftChars="0"/>
      </w:pPr>
      <w:r>
        <w:rPr>
          <w:rFonts w:hint="eastAsia"/>
        </w:rPr>
        <w:t>障害のある人が</w:t>
      </w:r>
      <w:r w:rsidR="00FE5C7A">
        <w:rPr>
          <w:rFonts w:hint="eastAsia"/>
        </w:rPr>
        <w:t>、</w:t>
      </w:r>
      <w:r>
        <w:rPr>
          <w:rFonts w:hint="eastAsia"/>
        </w:rPr>
        <w:t>他の生徒と同程度</w:t>
      </w:r>
      <w:r w:rsidR="00453F59">
        <w:rPr>
          <w:rFonts w:hint="eastAsia"/>
        </w:rPr>
        <w:t>に</w:t>
      </w:r>
      <w:r>
        <w:rPr>
          <w:rFonts w:hint="eastAsia"/>
        </w:rPr>
        <w:t>高校</w:t>
      </w:r>
      <w:r w:rsidR="00F1661C">
        <w:rPr>
          <w:rFonts w:hint="eastAsia"/>
        </w:rPr>
        <w:t>教育</w:t>
      </w:r>
      <w:r>
        <w:rPr>
          <w:rFonts w:hint="eastAsia"/>
        </w:rPr>
        <w:t>及び高等教育を修</w:t>
      </w:r>
      <w:r w:rsidR="00453F59">
        <w:rPr>
          <w:rFonts w:hint="eastAsia"/>
        </w:rPr>
        <w:t>める</w:t>
      </w:r>
      <w:r>
        <w:rPr>
          <w:rFonts w:hint="eastAsia"/>
        </w:rPr>
        <w:t>ことを確保するために</w:t>
      </w:r>
      <w:r w:rsidR="00FE5C7A">
        <w:rPr>
          <w:rFonts w:hint="eastAsia"/>
        </w:rPr>
        <w:t>、</w:t>
      </w:r>
      <w:r>
        <w:rPr>
          <w:rFonts w:hint="eastAsia"/>
        </w:rPr>
        <w:t>どのような方策が講じられるのか？</w:t>
      </w:r>
    </w:p>
    <w:p w14:paraId="751ECAB0" w14:textId="07F6BAD9" w:rsidR="00453F59" w:rsidRDefault="00AB1BA3" w:rsidP="003736CD">
      <w:pPr>
        <w:pStyle w:val="af0"/>
        <w:numPr>
          <w:ilvl w:val="1"/>
          <w:numId w:val="3"/>
        </w:numPr>
        <w:ind w:leftChars="0"/>
      </w:pPr>
      <w:r>
        <w:rPr>
          <w:rFonts w:hint="eastAsia"/>
        </w:rPr>
        <w:t>居住する</w:t>
      </w:r>
      <w:r w:rsidR="00E3062A">
        <w:rPr>
          <w:rFonts w:hint="eastAsia"/>
        </w:rPr>
        <w:t>市町</w:t>
      </w:r>
      <w:r>
        <w:rPr>
          <w:rFonts w:hint="eastAsia"/>
        </w:rPr>
        <w:t>村又は県に関係なく</w:t>
      </w:r>
      <w:r w:rsidR="0042576F">
        <w:rPr>
          <w:rFonts w:hint="eastAsia"/>
        </w:rPr>
        <w:t>適応教育及び特別支援教育を受ける平等の権利を保障し、教育が適切な公式の教育研修を受けた教員によって行われることを確保するために、どのような方策が講じられるのか？</w:t>
      </w:r>
    </w:p>
    <w:p w14:paraId="4439B030" w14:textId="39A616ED" w:rsidR="0042576F" w:rsidRPr="00B64BF7" w:rsidRDefault="0042576F" w:rsidP="0042576F">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25</w:t>
      </w:r>
      <w:r w:rsidRPr="00B64BF7">
        <w:rPr>
          <w:rFonts w:asciiTheme="majorEastAsia" w:eastAsiaTheme="majorEastAsia" w:hAnsiTheme="majorEastAsia" w:hint="eastAsia"/>
        </w:rPr>
        <w:t>条：健康</w:t>
      </w:r>
    </w:p>
    <w:p w14:paraId="38039635" w14:textId="138E14F1" w:rsidR="003736CD" w:rsidRDefault="007E64CB" w:rsidP="00C772E7">
      <w:pPr>
        <w:pStyle w:val="af0"/>
        <w:numPr>
          <w:ilvl w:val="0"/>
          <w:numId w:val="4"/>
        </w:numPr>
        <w:ind w:leftChars="0"/>
      </w:pPr>
      <w:r>
        <w:rPr>
          <w:rFonts w:hint="eastAsia"/>
        </w:rPr>
        <w:t>障害のある人は一般の人よりも、歯科衛生</w:t>
      </w:r>
      <w:r w:rsidR="00C772E7">
        <w:rPr>
          <w:rFonts w:hint="eastAsia"/>
        </w:rPr>
        <w:t>や</w:t>
      </w:r>
      <w:r>
        <w:rPr>
          <w:rFonts w:hint="eastAsia"/>
        </w:rPr>
        <w:t>身体</w:t>
      </w:r>
      <w:r w:rsidR="00C772E7">
        <w:rPr>
          <w:rFonts w:hint="eastAsia"/>
        </w:rPr>
        <w:t>的・心理</w:t>
      </w:r>
      <w:r>
        <w:rPr>
          <w:rFonts w:hint="eastAsia"/>
        </w:rPr>
        <w:t>的健康状態が悪い。</w:t>
      </w:r>
      <w:r>
        <w:rPr>
          <w:rStyle w:val="a8"/>
        </w:rPr>
        <w:endnoteReference w:id="111"/>
      </w:r>
      <w:r>
        <w:rPr>
          <w:rFonts w:hint="eastAsia"/>
        </w:rPr>
        <w:t>知的</w:t>
      </w:r>
      <w:r w:rsidR="00C772E7">
        <w:rPr>
          <w:rFonts w:hint="eastAsia"/>
        </w:rPr>
        <w:t>障害のある人の健康状態は、一般の人と比較して悪い傾向があり、保健サービスは彼らに</w:t>
      </w:r>
      <w:r w:rsidR="00BF4192">
        <w:rPr>
          <w:rFonts w:hint="eastAsia"/>
        </w:rPr>
        <w:t>適</w:t>
      </w:r>
      <w:r w:rsidR="00C772E7">
        <w:rPr>
          <w:rFonts w:hint="eastAsia"/>
        </w:rPr>
        <w:t>し</w:t>
      </w:r>
      <w:r w:rsidR="00BF4192">
        <w:rPr>
          <w:rFonts w:hint="eastAsia"/>
        </w:rPr>
        <w:t>てい</w:t>
      </w:r>
      <w:r w:rsidR="00C772E7">
        <w:rPr>
          <w:rFonts w:hint="eastAsia"/>
        </w:rPr>
        <w:t>ない。</w:t>
      </w:r>
      <w:r w:rsidR="00C772E7">
        <w:rPr>
          <w:rStyle w:val="a8"/>
        </w:rPr>
        <w:endnoteReference w:id="112"/>
      </w:r>
      <w:r w:rsidR="00C772E7">
        <w:rPr>
          <w:rFonts w:hint="eastAsia"/>
        </w:rPr>
        <w:t>2016</w:t>
      </w:r>
      <w:r w:rsidR="00C772E7">
        <w:rPr>
          <w:rFonts w:hint="eastAsia"/>
        </w:rPr>
        <w:t>年には、県知事事務所が</w:t>
      </w:r>
      <w:r w:rsidR="000B3103">
        <w:rPr>
          <w:rFonts w:hint="eastAsia"/>
        </w:rPr>
        <w:t>57</w:t>
      </w:r>
      <w:r w:rsidR="002E194B">
        <w:rPr>
          <w:rFonts w:hint="eastAsia"/>
        </w:rPr>
        <w:t>の</w:t>
      </w:r>
      <w:r w:rsidR="00E3062A">
        <w:rPr>
          <w:rFonts w:hint="eastAsia"/>
        </w:rPr>
        <w:t>市町</w:t>
      </w:r>
      <w:r w:rsidR="00C772E7">
        <w:rPr>
          <w:rFonts w:hint="eastAsia"/>
        </w:rPr>
        <w:t>村</w:t>
      </w:r>
      <w:r w:rsidR="002E194B">
        <w:rPr>
          <w:rFonts w:hint="eastAsia"/>
        </w:rPr>
        <w:t>で</w:t>
      </w:r>
      <w:r w:rsidR="00BF4192">
        <w:rPr>
          <w:rFonts w:hint="eastAsia"/>
        </w:rPr>
        <w:t>、</w:t>
      </w:r>
      <w:r w:rsidR="002E194B">
        <w:rPr>
          <w:rFonts w:hint="eastAsia"/>
        </w:rPr>
        <w:t>知的障害のある人のための</w:t>
      </w:r>
      <w:r w:rsidR="00E3062A">
        <w:rPr>
          <w:rFonts w:hint="eastAsia"/>
        </w:rPr>
        <w:t>市町</w:t>
      </w:r>
      <w:r w:rsidR="002E194B">
        <w:rPr>
          <w:rFonts w:hint="eastAsia"/>
        </w:rPr>
        <w:t>村による</w:t>
      </w:r>
      <w:r w:rsidR="00C772E7">
        <w:rPr>
          <w:rFonts w:hint="eastAsia"/>
        </w:rPr>
        <w:t>保健サービス及び社会サービス</w:t>
      </w:r>
      <w:r w:rsidR="002E194B">
        <w:rPr>
          <w:rFonts w:hint="eastAsia"/>
        </w:rPr>
        <w:t>に関する</w:t>
      </w:r>
      <w:r w:rsidR="00C772E7">
        <w:rPr>
          <w:rFonts w:hint="eastAsia"/>
        </w:rPr>
        <w:t>全国</w:t>
      </w:r>
      <w:r w:rsidR="002E194B">
        <w:rPr>
          <w:rFonts w:hint="eastAsia"/>
        </w:rPr>
        <w:t>監査を実施した。</w:t>
      </w:r>
      <w:r w:rsidR="003B0ACF">
        <w:rPr>
          <w:rFonts w:hint="eastAsia"/>
        </w:rPr>
        <w:t>45</w:t>
      </w:r>
      <w:r w:rsidR="00E3062A">
        <w:rPr>
          <w:rFonts w:hint="eastAsia"/>
        </w:rPr>
        <w:t>市町</w:t>
      </w:r>
      <w:r w:rsidR="003B0ACF">
        <w:rPr>
          <w:rFonts w:hint="eastAsia"/>
        </w:rPr>
        <w:t>村でサービスの</w:t>
      </w:r>
      <w:r w:rsidR="00BF4192">
        <w:rPr>
          <w:rFonts w:hint="eastAsia"/>
        </w:rPr>
        <w:t>過誤</w:t>
      </w:r>
      <w:r w:rsidR="003B0ACF">
        <w:rPr>
          <w:rFonts w:hint="eastAsia"/>
        </w:rPr>
        <w:t>が見つかり、そのうちのいくつかは深刻であった。</w:t>
      </w:r>
      <w:r w:rsidR="003B0ACF">
        <w:rPr>
          <w:rStyle w:val="a8"/>
        </w:rPr>
        <w:endnoteReference w:id="113"/>
      </w:r>
    </w:p>
    <w:p w14:paraId="41A0FC9D" w14:textId="00946462" w:rsidR="003B0ACF" w:rsidRDefault="003B0ACF" w:rsidP="003B0ACF">
      <w:pPr>
        <w:pStyle w:val="af0"/>
        <w:numPr>
          <w:ilvl w:val="1"/>
          <w:numId w:val="3"/>
        </w:numPr>
        <w:ind w:leftChars="0"/>
      </w:pPr>
      <w:r>
        <w:rPr>
          <w:rFonts w:hint="eastAsia"/>
        </w:rPr>
        <w:t>ノルウェーは</w:t>
      </w:r>
      <w:r w:rsidR="002C589E">
        <w:rPr>
          <w:rFonts w:hint="eastAsia"/>
        </w:rPr>
        <w:t>、</w:t>
      </w:r>
      <w:r>
        <w:rPr>
          <w:rFonts w:hint="eastAsia"/>
        </w:rPr>
        <w:t>第</w:t>
      </w:r>
      <w:r>
        <w:rPr>
          <w:rFonts w:hint="eastAsia"/>
        </w:rPr>
        <w:t>14</w:t>
      </w:r>
      <w:r>
        <w:rPr>
          <w:rFonts w:hint="eastAsia"/>
        </w:rPr>
        <w:t>条／第</w:t>
      </w:r>
      <w:r>
        <w:rPr>
          <w:rFonts w:hint="eastAsia"/>
        </w:rPr>
        <w:t>25</w:t>
      </w:r>
      <w:r>
        <w:rPr>
          <w:rFonts w:hint="eastAsia"/>
        </w:rPr>
        <w:t>条に関する宣言を</w:t>
      </w:r>
      <w:r w:rsidR="002C589E">
        <w:rPr>
          <w:rFonts w:hint="eastAsia"/>
        </w:rPr>
        <w:t>いつ</w:t>
      </w:r>
      <w:r>
        <w:rPr>
          <w:rFonts w:hint="eastAsia"/>
        </w:rPr>
        <w:t xml:space="preserve">撤回するのか？　</w:t>
      </w:r>
      <w:r w:rsidR="009A7BA4">
        <w:rPr>
          <w:rFonts w:hint="eastAsia"/>
        </w:rPr>
        <w:t>第</w:t>
      </w:r>
      <w:r w:rsidR="009A7BA4">
        <w:rPr>
          <w:rFonts w:hint="eastAsia"/>
        </w:rPr>
        <w:t>25</w:t>
      </w:r>
      <w:r w:rsidR="009A7BA4">
        <w:rPr>
          <w:rFonts w:hint="eastAsia"/>
        </w:rPr>
        <w:t>条</w:t>
      </w:r>
      <w:r w:rsidR="009A7BA4">
        <w:rPr>
          <w:rFonts w:hint="eastAsia"/>
        </w:rPr>
        <w:t>d</w:t>
      </w:r>
      <w:r w:rsidR="009A7BA4">
        <w:rPr>
          <w:rFonts w:hint="eastAsia"/>
        </w:rPr>
        <w:t>に基づく、事情を知らされた上での自由</w:t>
      </w:r>
      <w:r w:rsidR="002C589E">
        <w:rPr>
          <w:rFonts w:hint="eastAsia"/>
        </w:rPr>
        <w:t>意思</w:t>
      </w:r>
      <w:r w:rsidR="00BF4192">
        <w:rPr>
          <w:rFonts w:hint="eastAsia"/>
        </w:rPr>
        <w:t>による</w:t>
      </w:r>
      <w:r w:rsidR="009A7BA4">
        <w:rPr>
          <w:rFonts w:hint="eastAsia"/>
        </w:rPr>
        <w:t>同意の権利</w:t>
      </w:r>
      <w:r>
        <w:rPr>
          <w:rFonts w:hint="eastAsia"/>
        </w:rPr>
        <w:t>を確保するために</w:t>
      </w:r>
      <w:r w:rsidR="009A7BA4">
        <w:rPr>
          <w:rFonts w:hint="eastAsia"/>
        </w:rPr>
        <w:t>、</w:t>
      </w:r>
      <w:r>
        <w:rPr>
          <w:rFonts w:hint="eastAsia"/>
        </w:rPr>
        <w:t>何がなされるのか？</w:t>
      </w:r>
    </w:p>
    <w:p w14:paraId="1E338CBF" w14:textId="65DCF70B" w:rsidR="00190B6E" w:rsidRDefault="00190B6E" w:rsidP="003B0ACF">
      <w:pPr>
        <w:pStyle w:val="af0"/>
        <w:numPr>
          <w:ilvl w:val="1"/>
          <w:numId w:val="3"/>
        </w:numPr>
        <w:ind w:leftChars="0"/>
      </w:pPr>
      <w:r>
        <w:rPr>
          <w:rFonts w:hint="eastAsia"/>
        </w:rPr>
        <w:t>障害のある人、特に知的障害のある人の健康の不平等を解消するために、締約国はどのような計画を立てているのか？</w:t>
      </w:r>
    </w:p>
    <w:p w14:paraId="68FE4759" w14:textId="56FF1B56" w:rsidR="00190B6E" w:rsidRPr="00B64BF7" w:rsidRDefault="00190B6E" w:rsidP="00190B6E">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27</w:t>
      </w:r>
      <w:r w:rsidRPr="00B64BF7">
        <w:rPr>
          <w:rFonts w:asciiTheme="majorEastAsia" w:eastAsiaTheme="majorEastAsia" w:hAnsiTheme="majorEastAsia" w:hint="eastAsia"/>
        </w:rPr>
        <w:t>条：労働及び雇用</w:t>
      </w:r>
    </w:p>
    <w:p w14:paraId="7E8F6433" w14:textId="54BD7485" w:rsidR="003B0ACF" w:rsidRDefault="001B5D92" w:rsidP="00C772E7">
      <w:pPr>
        <w:pStyle w:val="af0"/>
        <w:numPr>
          <w:ilvl w:val="0"/>
          <w:numId w:val="4"/>
        </w:numPr>
        <w:ind w:leftChars="0"/>
      </w:pPr>
      <w:r>
        <w:rPr>
          <w:rFonts w:hint="eastAsia"/>
        </w:rPr>
        <w:t>障害のある従業員の割合は、経済状況や諸計画の実施に</w:t>
      </w:r>
      <w:r w:rsidR="002C589E">
        <w:rPr>
          <w:rFonts w:hint="eastAsia"/>
        </w:rPr>
        <w:t>も</w:t>
      </w:r>
      <w:r>
        <w:rPr>
          <w:rFonts w:hint="eastAsia"/>
        </w:rPr>
        <w:t>かか</w:t>
      </w:r>
      <w:r w:rsidR="00C72681">
        <w:rPr>
          <w:rFonts w:hint="eastAsia"/>
        </w:rPr>
        <w:t>わらず、数十年にわたり</w:t>
      </w:r>
      <w:r w:rsidR="002C589E">
        <w:rPr>
          <w:rFonts w:hint="eastAsia"/>
        </w:rPr>
        <w:t>変わっていない</w:t>
      </w:r>
      <w:r w:rsidR="00C72681">
        <w:rPr>
          <w:rFonts w:hint="eastAsia"/>
        </w:rPr>
        <w:t>。</w:t>
      </w:r>
      <w:r w:rsidR="00C72681">
        <w:rPr>
          <w:rStyle w:val="a8"/>
        </w:rPr>
        <w:endnoteReference w:id="114"/>
      </w:r>
      <w:r w:rsidR="009A40A0">
        <w:rPr>
          <w:rFonts w:hint="eastAsia"/>
        </w:rPr>
        <w:t>職場における障害のある人に対する</w:t>
      </w:r>
      <w:r w:rsidR="00E31E3C">
        <w:rPr>
          <w:rFonts w:hint="eastAsia"/>
        </w:rPr>
        <w:t>差別に関する調査研究は</w:t>
      </w:r>
      <w:r w:rsidR="002F5DD6">
        <w:rPr>
          <w:rFonts w:hint="eastAsia"/>
        </w:rPr>
        <w:t>、</w:t>
      </w:r>
      <w:r w:rsidR="00E31E3C">
        <w:rPr>
          <w:rFonts w:hint="eastAsia"/>
        </w:rPr>
        <w:t>ほとんど行われてこなかった。障害のある人に関しては、</w:t>
      </w:r>
      <w:r w:rsidR="009A40A0">
        <w:rPr>
          <w:rFonts w:hint="eastAsia"/>
        </w:rPr>
        <w:t>雇用促進</w:t>
      </w:r>
      <w:r w:rsidR="002771EA">
        <w:rPr>
          <w:rFonts w:hint="eastAsia"/>
        </w:rPr>
        <w:t>並びに</w:t>
      </w:r>
      <w:r w:rsidR="009A40A0">
        <w:rPr>
          <w:rFonts w:hint="eastAsia"/>
        </w:rPr>
        <w:t>職場における平等増進の手段としての活動</w:t>
      </w:r>
      <w:r w:rsidR="002771EA">
        <w:rPr>
          <w:rFonts w:hint="eastAsia"/>
        </w:rPr>
        <w:t>及び</w:t>
      </w:r>
      <w:r w:rsidR="009A40A0">
        <w:rPr>
          <w:rFonts w:hint="eastAsia"/>
        </w:rPr>
        <w:t>報告</w:t>
      </w:r>
      <w:r w:rsidR="00E31E3C">
        <w:rPr>
          <w:rFonts w:hint="eastAsia"/>
        </w:rPr>
        <w:t>の義務</w:t>
      </w:r>
      <w:r w:rsidR="009A40A0">
        <w:rPr>
          <w:rStyle w:val="a8"/>
        </w:rPr>
        <w:endnoteReference w:id="115"/>
      </w:r>
      <w:r w:rsidR="00E31E3C">
        <w:rPr>
          <w:rFonts w:hint="eastAsia"/>
        </w:rPr>
        <w:t>が</w:t>
      </w:r>
      <w:r w:rsidR="002F5DD6">
        <w:rPr>
          <w:rFonts w:hint="eastAsia"/>
        </w:rPr>
        <w:t>、</w:t>
      </w:r>
      <w:r w:rsidR="009A40A0">
        <w:rPr>
          <w:rFonts w:hint="eastAsia"/>
        </w:rPr>
        <w:t>ほとんど</w:t>
      </w:r>
      <w:r w:rsidR="00E31E3C">
        <w:rPr>
          <w:rFonts w:hint="eastAsia"/>
        </w:rPr>
        <w:t>実施</w:t>
      </w:r>
      <w:r w:rsidR="009A40A0">
        <w:rPr>
          <w:rFonts w:hint="eastAsia"/>
        </w:rPr>
        <w:t>されていない。</w:t>
      </w:r>
      <w:r w:rsidR="00E31E3C">
        <w:rPr>
          <w:rStyle w:val="a8"/>
        </w:rPr>
        <w:endnoteReference w:id="116"/>
      </w:r>
    </w:p>
    <w:p w14:paraId="2273ABAC" w14:textId="48567A34" w:rsidR="00BF4192" w:rsidRDefault="00570B99" w:rsidP="00BF4192">
      <w:pPr>
        <w:pStyle w:val="af0"/>
        <w:numPr>
          <w:ilvl w:val="1"/>
          <w:numId w:val="3"/>
        </w:numPr>
        <w:ind w:leftChars="0"/>
      </w:pPr>
      <w:r>
        <w:rPr>
          <w:rFonts w:hint="eastAsia"/>
        </w:rPr>
        <w:t>労働市場における</w:t>
      </w:r>
      <w:r w:rsidR="00E31E3C">
        <w:rPr>
          <w:rFonts w:hint="eastAsia"/>
        </w:rPr>
        <w:t>障害のある人に対する差別の発見と防止のために、何がなされるのか？</w:t>
      </w:r>
      <w:r>
        <w:rPr>
          <w:rFonts w:hint="eastAsia"/>
        </w:rPr>
        <w:t xml:space="preserve">　民間</w:t>
      </w:r>
      <w:r w:rsidR="00BF4192">
        <w:rPr>
          <w:rFonts w:hint="eastAsia"/>
        </w:rPr>
        <w:t>部門</w:t>
      </w:r>
      <w:r>
        <w:rPr>
          <w:rFonts w:hint="eastAsia"/>
        </w:rPr>
        <w:t>及び公的部門の労働市場における障害のある人の雇用促進に向けて、活動</w:t>
      </w:r>
      <w:r w:rsidR="002771EA">
        <w:rPr>
          <w:rFonts w:hint="eastAsia"/>
        </w:rPr>
        <w:t>及び</w:t>
      </w:r>
      <w:r>
        <w:rPr>
          <w:rFonts w:hint="eastAsia"/>
        </w:rPr>
        <w:t>報告の義務が積極的に遂行されることを確保するために、何がなされるのか？</w:t>
      </w:r>
    </w:p>
    <w:p w14:paraId="6B19EB1F" w14:textId="75399155" w:rsidR="0056517D" w:rsidRDefault="00BF4192" w:rsidP="00BF4192">
      <w:pPr>
        <w:pStyle w:val="af0"/>
        <w:numPr>
          <w:ilvl w:val="1"/>
          <w:numId w:val="3"/>
        </w:numPr>
        <w:ind w:leftChars="0"/>
      </w:pPr>
      <w:r>
        <w:rPr>
          <w:rFonts w:hint="eastAsia"/>
        </w:rPr>
        <w:t>開かれた労働市場で働く障害のある</w:t>
      </w:r>
      <w:r w:rsidR="0056517D">
        <w:rPr>
          <w:rFonts w:hint="eastAsia"/>
        </w:rPr>
        <w:t>人の割合を大幅に増やすために、どのようなイニシアティブがとられるのか？</w:t>
      </w:r>
    </w:p>
    <w:p w14:paraId="1F740F87" w14:textId="6D59B670" w:rsidR="0056517D" w:rsidRPr="00B64BF7" w:rsidRDefault="0056517D" w:rsidP="0056517D">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29</w:t>
      </w:r>
      <w:r w:rsidRPr="00B64BF7">
        <w:rPr>
          <w:rFonts w:asciiTheme="majorEastAsia" w:eastAsiaTheme="majorEastAsia" w:hAnsiTheme="majorEastAsia" w:hint="eastAsia"/>
        </w:rPr>
        <w:t>条：政治的及び公的活動への参加</w:t>
      </w:r>
    </w:p>
    <w:p w14:paraId="7B637268" w14:textId="3345977C" w:rsidR="008B0B54" w:rsidRDefault="001F0D1A" w:rsidP="00086956">
      <w:pPr>
        <w:pStyle w:val="af0"/>
        <w:numPr>
          <w:ilvl w:val="0"/>
          <w:numId w:val="4"/>
        </w:numPr>
        <w:ind w:leftChars="0"/>
      </w:pPr>
      <w:r>
        <w:rPr>
          <w:rFonts w:hint="eastAsia"/>
        </w:rPr>
        <w:t>選挙で選ばれた機関が使用する場所の</w:t>
      </w:r>
      <w:r w:rsidR="00D557F1">
        <w:rPr>
          <w:rFonts w:hint="eastAsia"/>
        </w:rPr>
        <w:t>アクセシビリティ</w:t>
      </w:r>
      <w:r w:rsidR="00D25DC0">
        <w:rPr>
          <w:rFonts w:hint="eastAsia"/>
        </w:rPr>
        <w:t>に関する</w:t>
      </w:r>
      <w:r w:rsidR="000D0AA5">
        <w:rPr>
          <w:rFonts w:hint="eastAsia"/>
        </w:rPr>
        <w:t>現状</w:t>
      </w:r>
      <w:r w:rsidR="00D25DC0">
        <w:rPr>
          <w:rFonts w:hint="eastAsia"/>
        </w:rPr>
        <w:t>報告は</w:t>
      </w:r>
      <w:r w:rsidR="002F5DD6">
        <w:rPr>
          <w:rFonts w:hint="eastAsia"/>
        </w:rPr>
        <w:t>、</w:t>
      </w:r>
      <w:r w:rsidR="00D25DC0">
        <w:rPr>
          <w:rFonts w:hint="eastAsia"/>
        </w:rPr>
        <w:t>存在しない</w:t>
      </w:r>
      <w:r w:rsidR="004D29EA">
        <w:rPr>
          <w:rFonts w:hint="eastAsia"/>
        </w:rPr>
        <w:t>。</w:t>
      </w:r>
      <w:r w:rsidR="004D29EA">
        <w:rPr>
          <w:rStyle w:val="a8"/>
        </w:rPr>
        <w:endnoteReference w:id="117"/>
      </w:r>
      <w:r w:rsidR="004D29EA">
        <w:rPr>
          <w:rFonts w:hint="eastAsia"/>
        </w:rPr>
        <w:t>障害者団体は、市町村、県及び国レベルで、選挙で選ばれた機関の会合や、選挙及び政治討論に使用される場所並びに設備が、反差別法</w:t>
      </w:r>
      <w:r w:rsidR="00514C2A">
        <w:rPr>
          <w:rFonts w:hint="eastAsia"/>
        </w:rPr>
        <w:t>で</w:t>
      </w:r>
      <w:r w:rsidR="004D29EA">
        <w:rPr>
          <w:rFonts w:hint="eastAsia"/>
        </w:rPr>
        <w:t>ユニバーサルデザインの義務が定められてから</w:t>
      </w:r>
      <w:r w:rsidR="004D29EA">
        <w:rPr>
          <w:rFonts w:hint="eastAsia"/>
        </w:rPr>
        <w:t>10</w:t>
      </w:r>
      <w:r w:rsidR="004D29EA">
        <w:rPr>
          <w:rFonts w:hint="eastAsia"/>
        </w:rPr>
        <w:t>年を経ても</w:t>
      </w:r>
      <w:r w:rsidR="00514C2A">
        <w:rPr>
          <w:rFonts w:hint="eastAsia"/>
        </w:rPr>
        <w:t>、</w:t>
      </w:r>
      <w:r w:rsidR="004D29EA">
        <w:rPr>
          <w:rFonts w:hint="eastAsia"/>
        </w:rPr>
        <w:t>いまだにその要件を満たしていないことに注目してきた。</w:t>
      </w:r>
      <w:r w:rsidR="004D29EA">
        <w:rPr>
          <w:rStyle w:val="a8"/>
        </w:rPr>
        <w:endnoteReference w:id="118"/>
      </w:r>
      <w:r w:rsidR="00987EB0">
        <w:rPr>
          <w:rFonts w:hint="eastAsia"/>
        </w:rPr>
        <w:t>訴訟</w:t>
      </w:r>
      <w:r w:rsidR="00382E1A">
        <w:rPr>
          <w:rFonts w:hint="eastAsia"/>
        </w:rPr>
        <w:t>記録は、全盲及び弱視の政治家が利用できる形にはなっていない。</w:t>
      </w:r>
      <w:r w:rsidR="00382E1A">
        <w:rPr>
          <w:rStyle w:val="a8"/>
        </w:rPr>
        <w:endnoteReference w:id="119"/>
      </w:r>
      <w:r w:rsidR="00382E1A">
        <w:rPr>
          <w:rFonts w:hint="eastAsia"/>
        </w:rPr>
        <w:t>紙ベースの選挙</w:t>
      </w:r>
      <w:r w:rsidR="006A3C84">
        <w:rPr>
          <w:rFonts w:hint="eastAsia"/>
        </w:rPr>
        <w:t>が</w:t>
      </w:r>
      <w:r w:rsidR="00382E1A">
        <w:rPr>
          <w:rFonts w:hint="eastAsia"/>
        </w:rPr>
        <w:t>重度</w:t>
      </w:r>
      <w:r w:rsidR="006A3C84">
        <w:rPr>
          <w:rFonts w:hint="eastAsia"/>
        </w:rPr>
        <w:t>視覚障害者による秘密</w:t>
      </w:r>
      <w:r w:rsidR="00382E1A">
        <w:rPr>
          <w:rFonts w:hint="eastAsia"/>
        </w:rPr>
        <w:t>投票</w:t>
      </w:r>
      <w:r w:rsidR="006A3C84">
        <w:rPr>
          <w:rFonts w:hint="eastAsia"/>
        </w:rPr>
        <w:t>を妨げており</w:t>
      </w:r>
      <w:r w:rsidR="00382E1A">
        <w:rPr>
          <w:rFonts w:hint="eastAsia"/>
        </w:rPr>
        <w:t>、</w:t>
      </w:r>
      <w:r w:rsidR="006A3C84">
        <w:rPr>
          <w:rFonts w:hint="eastAsia"/>
        </w:rPr>
        <w:t>40</w:t>
      </w:r>
      <w:r w:rsidR="006A3C84">
        <w:rPr>
          <w:rFonts w:hint="eastAsia"/>
        </w:rPr>
        <w:t>パーセントが秘密投票をし</w:t>
      </w:r>
      <w:r w:rsidR="00E67BA6">
        <w:rPr>
          <w:rFonts w:hint="eastAsia"/>
        </w:rPr>
        <w:t>たことがない</w:t>
      </w:r>
      <w:r w:rsidR="006A3C84">
        <w:rPr>
          <w:rFonts w:hint="eastAsia"/>
        </w:rPr>
        <w:t>と報告している。</w:t>
      </w:r>
      <w:r w:rsidR="006A3C84">
        <w:rPr>
          <w:rStyle w:val="a8"/>
        </w:rPr>
        <w:endnoteReference w:id="120"/>
      </w:r>
      <w:r w:rsidR="006A3C84">
        <w:rPr>
          <w:rFonts w:hint="eastAsia"/>
        </w:rPr>
        <w:t>電子投票の試行が成功したとはいえ、導入はされていない。期日前電子投票も許可されていない。</w:t>
      </w:r>
    </w:p>
    <w:p w14:paraId="54E60514" w14:textId="710E5C91" w:rsidR="006A3C84" w:rsidRDefault="00E67BA6" w:rsidP="006A3C84">
      <w:pPr>
        <w:pStyle w:val="af0"/>
        <w:numPr>
          <w:ilvl w:val="1"/>
          <w:numId w:val="3"/>
        </w:numPr>
        <w:ind w:leftChars="0"/>
      </w:pPr>
      <w:r>
        <w:rPr>
          <w:rFonts w:hint="eastAsia"/>
        </w:rPr>
        <w:t>選挙で選ばれた機関において、</w:t>
      </w:r>
      <w:r w:rsidR="006A3C84">
        <w:rPr>
          <w:rFonts w:hint="eastAsia"/>
        </w:rPr>
        <w:t>多様性を確保し、</w:t>
      </w:r>
      <w:r>
        <w:rPr>
          <w:rFonts w:hint="eastAsia"/>
        </w:rPr>
        <w:t>障害のある人の</w:t>
      </w:r>
      <w:r w:rsidR="006A3C84">
        <w:rPr>
          <w:rFonts w:hint="eastAsia"/>
        </w:rPr>
        <w:t xml:space="preserve">数を増やすために、どのような方策が講じられるのか？　</w:t>
      </w:r>
      <w:r w:rsidR="00D557F1">
        <w:rPr>
          <w:rFonts w:hint="eastAsia"/>
        </w:rPr>
        <w:t>また、</w:t>
      </w:r>
      <w:r>
        <w:rPr>
          <w:rFonts w:hint="eastAsia"/>
        </w:rPr>
        <w:t>条約</w:t>
      </w:r>
      <w:r w:rsidR="00D557F1">
        <w:rPr>
          <w:rFonts w:hint="eastAsia"/>
        </w:rPr>
        <w:t>に基づ</w:t>
      </w:r>
      <w:r w:rsidR="00AF1AF3">
        <w:rPr>
          <w:rFonts w:hint="eastAsia"/>
        </w:rPr>
        <w:t>き</w:t>
      </w:r>
      <w:r w:rsidR="00D557F1">
        <w:rPr>
          <w:rFonts w:hint="eastAsia"/>
        </w:rPr>
        <w:t>、意識を向上させ、建物及び情報のアクセシビリティを確保するための</w:t>
      </w:r>
      <w:r w:rsidR="006A3C84">
        <w:rPr>
          <w:rFonts w:hint="eastAsia"/>
        </w:rPr>
        <w:t>方策は何か？</w:t>
      </w:r>
    </w:p>
    <w:p w14:paraId="43D32D8F" w14:textId="4B9464CB" w:rsidR="00D557F1" w:rsidRDefault="003F5435" w:rsidP="006A3C84">
      <w:pPr>
        <w:pStyle w:val="af0"/>
        <w:numPr>
          <w:ilvl w:val="1"/>
          <w:numId w:val="3"/>
        </w:numPr>
        <w:ind w:leftChars="0"/>
      </w:pPr>
      <w:r>
        <w:rPr>
          <w:rFonts w:hint="eastAsia"/>
        </w:rPr>
        <w:t>さまざま</w:t>
      </w:r>
      <w:r w:rsidR="001A7474">
        <w:rPr>
          <w:rFonts w:hint="eastAsia"/>
        </w:rPr>
        <w:t>な</w:t>
      </w:r>
      <w:r w:rsidR="00E67BA6">
        <w:rPr>
          <w:rFonts w:hint="eastAsia"/>
        </w:rPr>
        <w:t>種類の</w:t>
      </w:r>
      <w:r w:rsidR="001A7474">
        <w:rPr>
          <w:rFonts w:hint="eastAsia"/>
        </w:rPr>
        <w:t>障害を持つ人が自分自身で投票手続</w:t>
      </w:r>
      <w:r>
        <w:rPr>
          <w:rFonts w:hint="eastAsia"/>
        </w:rPr>
        <w:t>を</w:t>
      </w:r>
      <w:r w:rsidR="00E67BA6">
        <w:rPr>
          <w:rFonts w:hint="eastAsia"/>
        </w:rPr>
        <w:t>遂行することができなくな</w:t>
      </w:r>
      <w:r w:rsidR="002F5DD6">
        <w:rPr>
          <w:rFonts w:hint="eastAsia"/>
        </w:rPr>
        <w:t>ってしまう</w:t>
      </w:r>
      <w:r>
        <w:rPr>
          <w:rFonts w:hint="eastAsia"/>
        </w:rPr>
        <w:t>多様な</w:t>
      </w:r>
      <w:r w:rsidR="001A7474">
        <w:rPr>
          <w:rFonts w:hint="eastAsia"/>
        </w:rPr>
        <w:t>障壁を撤廃するために、新たな技術がどのように使用され</w:t>
      </w:r>
      <w:r w:rsidR="00E67BA6">
        <w:rPr>
          <w:rFonts w:hint="eastAsia"/>
        </w:rPr>
        <w:t>てい</w:t>
      </w:r>
      <w:r w:rsidR="001A7474">
        <w:rPr>
          <w:rFonts w:hint="eastAsia"/>
        </w:rPr>
        <w:t>るのか、情報を提供してください。</w:t>
      </w:r>
    </w:p>
    <w:p w14:paraId="3F8B2798" w14:textId="77777777" w:rsidR="00275210" w:rsidRDefault="00275210" w:rsidP="00275210"/>
    <w:p w14:paraId="4FDB30AB" w14:textId="0890A587" w:rsidR="00F635E3" w:rsidRPr="00B64BF7" w:rsidRDefault="003F5435" w:rsidP="00DC325D">
      <w:pPr>
        <w:pStyle w:val="af0"/>
        <w:numPr>
          <w:ilvl w:val="0"/>
          <w:numId w:val="3"/>
        </w:numPr>
        <w:ind w:leftChars="0"/>
        <w:rPr>
          <w:rFonts w:asciiTheme="majorEastAsia" w:eastAsiaTheme="majorEastAsia" w:hAnsiTheme="majorEastAsia"/>
        </w:rPr>
      </w:pPr>
      <w:r w:rsidRPr="00B64BF7">
        <w:rPr>
          <w:rFonts w:asciiTheme="majorEastAsia" w:eastAsiaTheme="majorEastAsia" w:hAnsiTheme="majorEastAsia" w:hint="eastAsia"/>
        </w:rPr>
        <w:t>特定の義務（第</w:t>
      </w:r>
      <w:r w:rsidRPr="00B64BF7">
        <w:rPr>
          <w:rFonts w:asciiTheme="majorEastAsia" w:eastAsiaTheme="majorEastAsia" w:hAnsiTheme="majorEastAsia"/>
        </w:rPr>
        <w:t>31</w:t>
      </w:r>
      <w:r w:rsidRPr="00B64BF7">
        <w:rPr>
          <w:rFonts w:asciiTheme="majorEastAsia" w:eastAsiaTheme="majorEastAsia" w:hAnsiTheme="majorEastAsia" w:hint="eastAsia"/>
        </w:rPr>
        <w:t>条</w:t>
      </w:r>
      <w:r w:rsidR="00275210" w:rsidRPr="00B64BF7">
        <w:rPr>
          <w:rFonts w:asciiTheme="majorEastAsia" w:eastAsiaTheme="majorEastAsia" w:hAnsiTheme="majorEastAsia" w:hint="eastAsia"/>
        </w:rPr>
        <w:t>～</w:t>
      </w:r>
      <w:r w:rsidRPr="00B64BF7">
        <w:rPr>
          <w:rFonts w:asciiTheme="majorEastAsia" w:eastAsiaTheme="majorEastAsia" w:hAnsiTheme="majorEastAsia" w:hint="eastAsia"/>
        </w:rPr>
        <w:t>第</w:t>
      </w:r>
      <w:r w:rsidRPr="00B64BF7">
        <w:rPr>
          <w:rFonts w:asciiTheme="majorEastAsia" w:eastAsiaTheme="majorEastAsia" w:hAnsiTheme="majorEastAsia"/>
        </w:rPr>
        <w:t>33</w:t>
      </w:r>
      <w:r w:rsidRPr="00B64BF7">
        <w:rPr>
          <w:rFonts w:asciiTheme="majorEastAsia" w:eastAsiaTheme="majorEastAsia" w:hAnsiTheme="majorEastAsia" w:hint="eastAsia"/>
        </w:rPr>
        <w:t>条）</w:t>
      </w:r>
    </w:p>
    <w:p w14:paraId="0127C9EB" w14:textId="350A60B4" w:rsidR="003F5435" w:rsidRPr="00B64BF7" w:rsidRDefault="003F5435" w:rsidP="003F5435">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31</w:t>
      </w:r>
      <w:r w:rsidRPr="00B64BF7">
        <w:rPr>
          <w:rFonts w:asciiTheme="majorEastAsia" w:eastAsiaTheme="majorEastAsia" w:hAnsiTheme="majorEastAsia" w:hint="eastAsia"/>
        </w:rPr>
        <w:t>条：統計及び資料の収集</w:t>
      </w:r>
    </w:p>
    <w:p w14:paraId="687FCA38" w14:textId="77791675" w:rsidR="003F5435" w:rsidRDefault="00275210" w:rsidP="003F5435">
      <w:pPr>
        <w:pStyle w:val="af0"/>
        <w:numPr>
          <w:ilvl w:val="1"/>
          <w:numId w:val="3"/>
        </w:numPr>
        <w:ind w:leftChars="0"/>
      </w:pPr>
      <w:r>
        <w:rPr>
          <w:rFonts w:hint="eastAsia"/>
        </w:rPr>
        <w:t>条約</w:t>
      </w:r>
      <w:r w:rsidR="003F5435">
        <w:rPr>
          <w:rFonts w:hint="eastAsia"/>
        </w:rPr>
        <w:t>に基づ</w:t>
      </w:r>
      <w:r>
        <w:rPr>
          <w:rFonts w:hint="eastAsia"/>
        </w:rPr>
        <w:t>く、障害のある人の状況について</w:t>
      </w:r>
      <w:r w:rsidR="002D524F">
        <w:rPr>
          <w:rFonts w:hint="eastAsia"/>
        </w:rPr>
        <w:t>一般の人と比較した</w:t>
      </w:r>
      <w:r w:rsidR="003F5435">
        <w:rPr>
          <w:rFonts w:hint="eastAsia"/>
        </w:rPr>
        <w:t>統計資料及び調査資料の十分な記録が存在するか否か、情報を提供してください。</w:t>
      </w:r>
      <w:r w:rsidR="00693B36">
        <w:rPr>
          <w:rFonts w:hint="eastAsia"/>
        </w:rPr>
        <w:t>その</w:t>
      </w:r>
      <w:r w:rsidR="002D524F">
        <w:rPr>
          <w:rFonts w:hint="eastAsia"/>
        </w:rPr>
        <w:t>記録は、条約を実施する政策を策定し、実施する上で、どの程度十分なのか？　統計では、ワシントングループによる障害に関する質問セットが</w:t>
      </w:r>
      <w:r w:rsidR="00693B36">
        <w:rPr>
          <w:rFonts w:hint="eastAsia"/>
        </w:rPr>
        <w:t>、</w:t>
      </w:r>
      <w:r w:rsidR="002D524F">
        <w:rPr>
          <w:rFonts w:hint="eastAsia"/>
        </w:rPr>
        <w:t>どの程度使用され</w:t>
      </w:r>
      <w:r>
        <w:rPr>
          <w:rFonts w:hint="eastAsia"/>
        </w:rPr>
        <w:t>ている</w:t>
      </w:r>
      <w:r w:rsidR="002D524F">
        <w:rPr>
          <w:rFonts w:hint="eastAsia"/>
        </w:rPr>
        <w:t>のか？</w:t>
      </w:r>
    </w:p>
    <w:p w14:paraId="6A7356A7" w14:textId="4056792F" w:rsidR="002D524F" w:rsidRPr="00B64BF7" w:rsidRDefault="002D524F" w:rsidP="002D524F">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32</w:t>
      </w:r>
      <w:r w:rsidRPr="00B64BF7">
        <w:rPr>
          <w:rFonts w:asciiTheme="majorEastAsia" w:eastAsiaTheme="majorEastAsia" w:hAnsiTheme="majorEastAsia" w:hint="eastAsia"/>
        </w:rPr>
        <w:t>条：国際協力</w:t>
      </w:r>
    </w:p>
    <w:p w14:paraId="5073CF33" w14:textId="0ADB9138" w:rsidR="002D524F" w:rsidRDefault="002D524F" w:rsidP="002D524F">
      <w:pPr>
        <w:pStyle w:val="af0"/>
        <w:numPr>
          <w:ilvl w:val="1"/>
          <w:numId w:val="3"/>
        </w:numPr>
        <w:ind w:leftChars="0"/>
      </w:pPr>
      <w:r>
        <w:rPr>
          <w:rFonts w:hint="eastAsia"/>
        </w:rPr>
        <w:t>開発援助計画を含む国際協力が</w:t>
      </w:r>
      <w:r w:rsidR="00275210">
        <w:rPr>
          <w:rFonts w:hint="eastAsia"/>
        </w:rPr>
        <w:t>、障害のある人にとってインクルーシブかつアクセシブル</w:t>
      </w:r>
      <w:r>
        <w:rPr>
          <w:rFonts w:hint="eastAsia"/>
        </w:rPr>
        <w:t>であることを確保するために、何がなされ</w:t>
      </w:r>
      <w:r w:rsidR="000049C7">
        <w:rPr>
          <w:rFonts w:hint="eastAsia"/>
        </w:rPr>
        <w:t>てい</w:t>
      </w:r>
      <w:r>
        <w:rPr>
          <w:rFonts w:hint="eastAsia"/>
        </w:rPr>
        <w:t>るのか？</w:t>
      </w:r>
    </w:p>
    <w:p w14:paraId="66618793" w14:textId="1BEAB09B" w:rsidR="002D524F" w:rsidRPr="00B64BF7" w:rsidRDefault="002D524F" w:rsidP="002D524F">
      <w:pPr>
        <w:rPr>
          <w:rFonts w:asciiTheme="majorEastAsia" w:eastAsiaTheme="majorEastAsia" w:hAnsiTheme="majorEastAsia"/>
        </w:rPr>
      </w:pPr>
      <w:r w:rsidRPr="00B64BF7">
        <w:rPr>
          <w:rFonts w:asciiTheme="majorEastAsia" w:eastAsiaTheme="majorEastAsia" w:hAnsiTheme="majorEastAsia" w:hint="eastAsia"/>
        </w:rPr>
        <w:t>第</w:t>
      </w:r>
      <w:r w:rsidRPr="00B64BF7">
        <w:rPr>
          <w:rFonts w:asciiTheme="majorEastAsia" w:eastAsiaTheme="majorEastAsia" w:hAnsiTheme="majorEastAsia"/>
        </w:rPr>
        <w:t>33</w:t>
      </w:r>
      <w:r w:rsidRPr="00B64BF7">
        <w:rPr>
          <w:rFonts w:asciiTheme="majorEastAsia" w:eastAsiaTheme="majorEastAsia" w:hAnsiTheme="majorEastAsia" w:hint="eastAsia"/>
        </w:rPr>
        <w:t>条：国内における実施及び監視</w:t>
      </w:r>
    </w:p>
    <w:p w14:paraId="02A72233" w14:textId="3324346D" w:rsidR="002D524F" w:rsidRDefault="002D524F" w:rsidP="002D524F">
      <w:pPr>
        <w:pStyle w:val="af0"/>
        <w:numPr>
          <w:ilvl w:val="1"/>
          <w:numId w:val="3"/>
        </w:numPr>
        <w:ind w:leftChars="0"/>
      </w:pPr>
      <w:r>
        <w:rPr>
          <w:rFonts w:hint="eastAsia"/>
        </w:rPr>
        <w:t>政府は</w:t>
      </w:r>
      <w:r w:rsidR="00342BA2">
        <w:rPr>
          <w:rFonts w:hint="eastAsia"/>
        </w:rPr>
        <w:t>、</w:t>
      </w:r>
      <w:r>
        <w:rPr>
          <w:rFonts w:hint="eastAsia"/>
        </w:rPr>
        <w:t>関係のある障害のある人のコミュニティと障害者団体を、障害者権利委員会の総括所見の監視にどのように関与させるのか？</w:t>
      </w:r>
    </w:p>
    <w:sectPr w:rsidR="002D524F" w:rsidSect="005F76F7">
      <w:endnotePr>
        <w:numFmt w:val="decimal"/>
      </w:endnotePr>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BFF5D" w16cid:durableId="1FBD0563"/>
  <w16cid:commentId w16cid:paraId="3733E4A0" w16cid:durableId="1FBD0564"/>
  <w16cid:commentId w16cid:paraId="24ECD65E" w16cid:durableId="1FBD0565"/>
  <w16cid:commentId w16cid:paraId="50E00895" w16cid:durableId="1FBD0566"/>
  <w16cid:commentId w16cid:paraId="6E3FC32E" w16cid:durableId="1FBD0567"/>
  <w16cid:commentId w16cid:paraId="285F29D0" w16cid:durableId="1FBD0568"/>
  <w16cid:commentId w16cid:paraId="3F44B819" w16cid:durableId="1FBD0569"/>
  <w16cid:commentId w16cid:paraId="32088E23" w16cid:durableId="1FBD056A"/>
  <w16cid:commentId w16cid:paraId="0524C66F" w16cid:durableId="1FBD056B"/>
  <w16cid:commentId w16cid:paraId="21638621" w16cid:durableId="1FBD056C"/>
  <w16cid:commentId w16cid:paraId="528C2257" w16cid:durableId="1FBD056D"/>
  <w16cid:commentId w16cid:paraId="44D21003" w16cid:durableId="1FBD056E"/>
  <w16cid:commentId w16cid:paraId="7D71D992" w16cid:durableId="1FBD056F"/>
  <w16cid:commentId w16cid:paraId="4F51938A" w16cid:durableId="1FBD0570"/>
  <w16cid:commentId w16cid:paraId="447B212C" w16cid:durableId="1FBD0571"/>
  <w16cid:commentId w16cid:paraId="11651FB6" w16cid:durableId="1FBD0572"/>
  <w16cid:commentId w16cid:paraId="5864E9A6" w16cid:durableId="1FBD0573"/>
  <w16cid:commentId w16cid:paraId="60B9181D" w16cid:durableId="1FBD0574"/>
  <w16cid:commentId w16cid:paraId="725CDE78" w16cid:durableId="1FBD0575"/>
  <w16cid:commentId w16cid:paraId="53DA5D4E" w16cid:durableId="1FBD0576"/>
  <w16cid:commentId w16cid:paraId="36396CA1" w16cid:durableId="1FBD0577"/>
  <w16cid:commentId w16cid:paraId="5544BAE5" w16cid:durableId="1FBD0578"/>
  <w16cid:commentId w16cid:paraId="0BD26572" w16cid:durableId="1FBD0579"/>
  <w16cid:commentId w16cid:paraId="707DBACC" w16cid:durableId="1FBD057A"/>
  <w16cid:commentId w16cid:paraId="24480214" w16cid:durableId="1FBD057B"/>
  <w16cid:commentId w16cid:paraId="643D45AA" w16cid:durableId="1FBD057C"/>
  <w16cid:commentId w16cid:paraId="12084F78" w16cid:durableId="1FBD057D"/>
  <w16cid:commentId w16cid:paraId="61484680" w16cid:durableId="1FBD057E"/>
  <w16cid:commentId w16cid:paraId="0B0846AE" w16cid:durableId="1FBD057F"/>
  <w16cid:commentId w16cid:paraId="26061CAA" w16cid:durableId="1FBD0580"/>
  <w16cid:commentId w16cid:paraId="67CDD90F" w16cid:durableId="1FBD0581"/>
  <w16cid:commentId w16cid:paraId="5EB47219" w16cid:durableId="1FBD05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020E3" w14:textId="77777777" w:rsidR="003A3E4D" w:rsidRDefault="003A3E4D" w:rsidP="00792EAD">
      <w:r>
        <w:separator/>
      </w:r>
    </w:p>
  </w:endnote>
  <w:endnote w:type="continuationSeparator" w:id="0">
    <w:p w14:paraId="60F5FD3B" w14:textId="77777777" w:rsidR="003A3E4D" w:rsidRDefault="003A3E4D" w:rsidP="00792EAD">
      <w:r>
        <w:continuationSeparator/>
      </w:r>
    </w:p>
  </w:endnote>
  <w:endnote w:id="1">
    <w:p w14:paraId="0AE56512" w14:textId="77777777" w:rsidR="00801782" w:rsidRDefault="00801782">
      <w:pPr>
        <w:pStyle w:val="a6"/>
      </w:pPr>
      <w:r>
        <w:rPr>
          <w:rFonts w:hint="eastAsia"/>
        </w:rPr>
        <w:t>脚注</w:t>
      </w:r>
    </w:p>
    <w:p w14:paraId="1D6316B8" w14:textId="10871A07" w:rsidR="00801782" w:rsidRDefault="00801782">
      <w:pPr>
        <w:pStyle w:val="a6"/>
      </w:pPr>
      <w:r>
        <w:rPr>
          <w:rStyle w:val="a8"/>
        </w:rPr>
        <w:endnoteRef/>
      </w:r>
      <w:r>
        <w:t xml:space="preserve"> </w:t>
      </w:r>
      <w:r>
        <w:rPr>
          <w:rFonts w:hint="eastAsia"/>
        </w:rPr>
        <w:t>一部の団体の名称は非公式な訳である。</w:t>
      </w:r>
    </w:p>
  </w:endnote>
  <w:endnote w:id="2">
    <w:p w14:paraId="4A576A2D" w14:textId="77777777" w:rsidR="00801782" w:rsidRPr="00E30F6A" w:rsidRDefault="00801782" w:rsidP="008C2FAD">
      <w:pPr>
        <w:pStyle w:val="a6"/>
        <w:rPr>
          <w:i/>
        </w:rPr>
      </w:pPr>
      <w:r>
        <w:rPr>
          <w:rStyle w:val="a8"/>
        </w:rPr>
        <w:endnoteRef/>
      </w:r>
      <w:r>
        <w:t xml:space="preserve"> </w:t>
      </w:r>
      <w:r w:rsidRPr="00E30F6A">
        <w:rPr>
          <w:rFonts w:hint="eastAsia"/>
          <w:i/>
        </w:rPr>
        <w:t>「第</w:t>
      </w:r>
      <w:r w:rsidRPr="00E30F6A">
        <w:rPr>
          <w:rFonts w:hint="eastAsia"/>
          <w:i/>
        </w:rPr>
        <w:t>12</w:t>
      </w:r>
      <w:r w:rsidRPr="00E30F6A">
        <w:rPr>
          <w:rFonts w:hint="eastAsia"/>
          <w:i/>
        </w:rPr>
        <w:t>条</w:t>
      </w:r>
    </w:p>
    <w:p w14:paraId="16912B0C" w14:textId="4C802B86" w:rsidR="00801782" w:rsidRPr="00E30F6A" w:rsidRDefault="00801782" w:rsidP="008C2FAD">
      <w:pPr>
        <w:pStyle w:val="a6"/>
        <w:rPr>
          <w:i/>
        </w:rPr>
      </w:pPr>
      <w:r w:rsidRPr="00E30F6A">
        <w:rPr>
          <w:rFonts w:hint="eastAsia"/>
          <w:i/>
        </w:rPr>
        <w:t>ノルウェーは、障害のある人が生活のあらゆる側面において他の者との平等を基礎として法的能力を享有することを認める。ノルウェーはまた、障害のある人がその法的能力の行使に当たって必要とする支援を利用する機会を提供するための適当な措置をとる義務を認める。さらにノルウェーは、法的能力又は法的能力の行使における支援の撤回、及び／又は強制的な後見等の方策が、最終手段として必要であり、かつ、保護措置が適用される場合、条約で認められているものと解釈することを宣言する。</w:t>
      </w:r>
    </w:p>
    <w:p w14:paraId="5A2D3802" w14:textId="77777777" w:rsidR="00801782" w:rsidRPr="00E30F6A" w:rsidRDefault="00801782" w:rsidP="008C2FAD">
      <w:pPr>
        <w:pStyle w:val="a6"/>
        <w:rPr>
          <w:i/>
        </w:rPr>
      </w:pPr>
    </w:p>
    <w:p w14:paraId="13CA9DF7" w14:textId="77777777" w:rsidR="00801782" w:rsidRPr="00E30F6A" w:rsidRDefault="00801782" w:rsidP="008C2FAD">
      <w:pPr>
        <w:pStyle w:val="a6"/>
        <w:rPr>
          <w:i/>
        </w:rPr>
      </w:pPr>
      <w:r w:rsidRPr="00E30F6A">
        <w:rPr>
          <w:rFonts w:hint="eastAsia"/>
          <w:i/>
        </w:rPr>
        <w:t>第</w:t>
      </w:r>
      <w:r w:rsidRPr="00E30F6A">
        <w:rPr>
          <w:rFonts w:hint="eastAsia"/>
          <w:i/>
        </w:rPr>
        <w:t>14</w:t>
      </w:r>
      <w:r w:rsidRPr="00E30F6A">
        <w:rPr>
          <w:rFonts w:hint="eastAsia"/>
          <w:i/>
        </w:rPr>
        <w:t>条及び第</w:t>
      </w:r>
      <w:r w:rsidRPr="00E30F6A">
        <w:rPr>
          <w:rFonts w:hint="eastAsia"/>
          <w:i/>
        </w:rPr>
        <w:t>25</w:t>
      </w:r>
      <w:r w:rsidRPr="00E30F6A">
        <w:rPr>
          <w:rFonts w:hint="eastAsia"/>
          <w:i/>
        </w:rPr>
        <w:t>条</w:t>
      </w:r>
    </w:p>
    <w:p w14:paraId="5F1ABC29" w14:textId="6D2C84F1" w:rsidR="00801782" w:rsidRPr="00E30F6A" w:rsidRDefault="00801782" w:rsidP="008C2FAD">
      <w:pPr>
        <w:pStyle w:val="a6"/>
        <w:rPr>
          <w:i/>
        </w:rPr>
      </w:pPr>
      <w:r w:rsidRPr="00E30F6A">
        <w:rPr>
          <w:rFonts w:hint="eastAsia"/>
          <w:i/>
        </w:rPr>
        <w:t>ノルウェーは、障害のあるすべての人が、他の者との平等を基礎として身体の自由及び安全についての権利と、その心身がそのままの状態で尊重される権利を享有することを認める。さらにノルウェーは、精神病の治療法を含む強制的なケア又は治療が、この種の治療が最終手段として必要であると諸状況から判断され、かつ、当該治療に法的保護措置が適用される場合、条約で認められているものと解釈することを宣言する。」</w:t>
      </w:r>
    </w:p>
  </w:endnote>
  <w:endnote w:id="3">
    <w:p w14:paraId="1781EB74" w14:textId="77777777" w:rsidR="00801782" w:rsidRDefault="00801782">
      <w:pPr>
        <w:pStyle w:val="a6"/>
      </w:pPr>
      <w:r>
        <w:rPr>
          <w:rStyle w:val="a8"/>
        </w:rPr>
        <w:endnoteRef/>
      </w:r>
      <w:r>
        <w:t xml:space="preserve"> </w:t>
      </w:r>
    </w:p>
  </w:endnote>
  <w:endnote w:id="4">
    <w:p w14:paraId="6A6F4352" w14:textId="77777777" w:rsidR="00801782" w:rsidRDefault="00801782" w:rsidP="004740CA">
      <w:pPr>
        <w:pStyle w:val="a6"/>
      </w:pPr>
      <w:r>
        <w:rPr>
          <w:rStyle w:val="a8"/>
        </w:rPr>
        <w:endnoteRef/>
      </w:r>
      <w:r>
        <w:t xml:space="preserve"> </w:t>
      </w:r>
    </w:p>
  </w:endnote>
  <w:endnote w:id="5">
    <w:p w14:paraId="480D2138" w14:textId="77777777" w:rsidR="00801782" w:rsidRDefault="00801782" w:rsidP="004740CA">
      <w:pPr>
        <w:pStyle w:val="a6"/>
      </w:pPr>
      <w:r>
        <w:rPr>
          <w:rStyle w:val="a8"/>
        </w:rPr>
        <w:endnoteRef/>
      </w:r>
      <w:r>
        <w:t xml:space="preserve"> </w:t>
      </w:r>
    </w:p>
  </w:endnote>
  <w:endnote w:id="6">
    <w:p w14:paraId="0A999502" w14:textId="3F44A3F7" w:rsidR="00801782" w:rsidRDefault="00801782">
      <w:pPr>
        <w:pStyle w:val="a6"/>
      </w:pPr>
      <w:r>
        <w:rPr>
          <w:rStyle w:val="a8"/>
        </w:rPr>
        <w:endnoteRef/>
      </w:r>
      <w:r>
        <w:t xml:space="preserve"> </w:t>
      </w:r>
    </w:p>
  </w:endnote>
  <w:endnote w:id="7">
    <w:p w14:paraId="1557261E" w14:textId="722FA9CD" w:rsidR="00801782" w:rsidRDefault="00801782">
      <w:pPr>
        <w:pStyle w:val="a6"/>
      </w:pPr>
      <w:r>
        <w:rPr>
          <w:rStyle w:val="a8"/>
        </w:rPr>
        <w:endnoteRef/>
      </w:r>
      <w:r>
        <w:t xml:space="preserve"> </w:t>
      </w:r>
    </w:p>
  </w:endnote>
  <w:endnote w:id="8">
    <w:p w14:paraId="0661E5F1" w14:textId="5D450928" w:rsidR="00801782" w:rsidRDefault="00801782">
      <w:pPr>
        <w:pStyle w:val="a6"/>
      </w:pPr>
      <w:r>
        <w:rPr>
          <w:rStyle w:val="a8"/>
        </w:rPr>
        <w:endnoteRef/>
      </w:r>
      <w:r>
        <w:t xml:space="preserve"> </w:t>
      </w:r>
    </w:p>
  </w:endnote>
  <w:endnote w:id="9">
    <w:p w14:paraId="56680CF1" w14:textId="611C46F5" w:rsidR="00801782" w:rsidRDefault="00801782">
      <w:pPr>
        <w:pStyle w:val="a6"/>
      </w:pPr>
      <w:r>
        <w:rPr>
          <w:rStyle w:val="a8"/>
        </w:rPr>
        <w:endnoteRef/>
      </w:r>
      <w:r>
        <w:t xml:space="preserve"> </w:t>
      </w:r>
    </w:p>
  </w:endnote>
  <w:endnote w:id="10">
    <w:p w14:paraId="47677045" w14:textId="641E395F" w:rsidR="00801782" w:rsidRDefault="00801782">
      <w:pPr>
        <w:pStyle w:val="a6"/>
      </w:pPr>
      <w:r>
        <w:rPr>
          <w:rStyle w:val="a8"/>
        </w:rPr>
        <w:endnoteRef/>
      </w:r>
      <w:r>
        <w:t xml:space="preserve"> </w:t>
      </w:r>
    </w:p>
  </w:endnote>
  <w:endnote w:id="11">
    <w:p w14:paraId="13422038" w14:textId="6520D592" w:rsidR="00801782" w:rsidRDefault="00801782">
      <w:pPr>
        <w:pStyle w:val="a6"/>
      </w:pPr>
      <w:r>
        <w:rPr>
          <w:rStyle w:val="a8"/>
        </w:rPr>
        <w:endnoteRef/>
      </w:r>
      <w:r>
        <w:t xml:space="preserve"> </w:t>
      </w:r>
    </w:p>
  </w:endnote>
  <w:endnote w:id="12">
    <w:p w14:paraId="5C1582E1" w14:textId="1472F045" w:rsidR="00801782" w:rsidRDefault="00801782">
      <w:pPr>
        <w:pStyle w:val="a6"/>
      </w:pPr>
      <w:r>
        <w:rPr>
          <w:rStyle w:val="a8"/>
        </w:rPr>
        <w:endnoteRef/>
      </w:r>
      <w:r>
        <w:t xml:space="preserve"> </w:t>
      </w:r>
    </w:p>
  </w:endnote>
  <w:endnote w:id="13">
    <w:p w14:paraId="4E77DC24" w14:textId="65133974" w:rsidR="00801782" w:rsidRDefault="00801782">
      <w:pPr>
        <w:pStyle w:val="a6"/>
      </w:pPr>
      <w:r>
        <w:rPr>
          <w:rStyle w:val="a8"/>
        </w:rPr>
        <w:endnoteRef/>
      </w:r>
      <w:r>
        <w:t xml:space="preserve"> </w:t>
      </w:r>
    </w:p>
  </w:endnote>
  <w:endnote w:id="14">
    <w:p w14:paraId="46C66877" w14:textId="2AAFDD54" w:rsidR="00801782" w:rsidRDefault="00801782">
      <w:pPr>
        <w:pStyle w:val="a6"/>
      </w:pPr>
      <w:r>
        <w:rPr>
          <w:rStyle w:val="a8"/>
        </w:rPr>
        <w:endnoteRef/>
      </w:r>
      <w:r>
        <w:t xml:space="preserve"> </w:t>
      </w:r>
    </w:p>
  </w:endnote>
  <w:endnote w:id="15">
    <w:p w14:paraId="6543FB3E" w14:textId="357A3969" w:rsidR="00801782" w:rsidRDefault="00801782">
      <w:pPr>
        <w:pStyle w:val="a6"/>
      </w:pPr>
      <w:r>
        <w:rPr>
          <w:rStyle w:val="a8"/>
        </w:rPr>
        <w:endnoteRef/>
      </w:r>
      <w:r>
        <w:t xml:space="preserve"> </w:t>
      </w:r>
    </w:p>
  </w:endnote>
  <w:endnote w:id="16">
    <w:p w14:paraId="2E506013" w14:textId="17C5DA63" w:rsidR="00801782" w:rsidRDefault="00801782">
      <w:pPr>
        <w:pStyle w:val="a6"/>
      </w:pPr>
      <w:r>
        <w:rPr>
          <w:rStyle w:val="a8"/>
        </w:rPr>
        <w:endnoteRef/>
      </w:r>
      <w:r>
        <w:t xml:space="preserve"> </w:t>
      </w:r>
    </w:p>
  </w:endnote>
  <w:endnote w:id="17">
    <w:p w14:paraId="530BF603" w14:textId="7A86072F" w:rsidR="00801782" w:rsidRDefault="00801782">
      <w:pPr>
        <w:pStyle w:val="a6"/>
      </w:pPr>
      <w:r>
        <w:rPr>
          <w:rStyle w:val="a8"/>
        </w:rPr>
        <w:endnoteRef/>
      </w:r>
      <w:r>
        <w:t xml:space="preserve"> </w:t>
      </w:r>
    </w:p>
  </w:endnote>
  <w:endnote w:id="18">
    <w:p w14:paraId="6F0FB366" w14:textId="7B8EA9AC" w:rsidR="00801782" w:rsidRDefault="00801782">
      <w:pPr>
        <w:pStyle w:val="a6"/>
      </w:pPr>
      <w:r>
        <w:rPr>
          <w:rStyle w:val="a8"/>
        </w:rPr>
        <w:endnoteRef/>
      </w:r>
      <w:r>
        <w:t xml:space="preserve"> </w:t>
      </w:r>
    </w:p>
  </w:endnote>
  <w:endnote w:id="19">
    <w:p w14:paraId="722001C7" w14:textId="77777777" w:rsidR="00801782" w:rsidRDefault="00801782" w:rsidP="00EC05DB">
      <w:pPr>
        <w:pStyle w:val="a6"/>
      </w:pPr>
      <w:r>
        <w:rPr>
          <w:rStyle w:val="a8"/>
        </w:rPr>
        <w:endnoteRef/>
      </w:r>
      <w:r>
        <w:t xml:space="preserve"> </w:t>
      </w:r>
    </w:p>
  </w:endnote>
  <w:endnote w:id="20">
    <w:p w14:paraId="65ADE6E8" w14:textId="631D4569" w:rsidR="00801782" w:rsidRDefault="00801782">
      <w:pPr>
        <w:pStyle w:val="a6"/>
      </w:pPr>
      <w:r>
        <w:rPr>
          <w:rStyle w:val="a8"/>
        </w:rPr>
        <w:endnoteRef/>
      </w:r>
      <w:r>
        <w:t xml:space="preserve"> </w:t>
      </w:r>
    </w:p>
  </w:endnote>
  <w:endnote w:id="21">
    <w:p w14:paraId="1B48B147" w14:textId="12EA9253" w:rsidR="00801782" w:rsidRDefault="00801782">
      <w:pPr>
        <w:pStyle w:val="a6"/>
      </w:pPr>
      <w:r>
        <w:rPr>
          <w:rStyle w:val="a8"/>
        </w:rPr>
        <w:endnoteRef/>
      </w:r>
      <w:r>
        <w:t xml:space="preserve"> </w:t>
      </w:r>
    </w:p>
  </w:endnote>
  <w:endnote w:id="22">
    <w:p w14:paraId="662BCF87" w14:textId="61A84C28" w:rsidR="00801782" w:rsidRDefault="00801782">
      <w:pPr>
        <w:pStyle w:val="a6"/>
      </w:pPr>
      <w:r>
        <w:rPr>
          <w:rStyle w:val="a8"/>
        </w:rPr>
        <w:endnoteRef/>
      </w:r>
      <w:r>
        <w:t xml:space="preserve"> </w:t>
      </w:r>
    </w:p>
  </w:endnote>
  <w:endnote w:id="23">
    <w:p w14:paraId="6FB0A90D" w14:textId="59803966" w:rsidR="00801782" w:rsidRDefault="00801782">
      <w:pPr>
        <w:pStyle w:val="a6"/>
      </w:pPr>
      <w:r>
        <w:rPr>
          <w:rStyle w:val="a8"/>
        </w:rPr>
        <w:endnoteRef/>
      </w:r>
      <w:r>
        <w:t xml:space="preserve"> </w:t>
      </w:r>
    </w:p>
  </w:endnote>
  <w:endnote w:id="24">
    <w:p w14:paraId="5243D265" w14:textId="75B54D3E" w:rsidR="00801782" w:rsidRDefault="00801782">
      <w:pPr>
        <w:pStyle w:val="a6"/>
      </w:pPr>
      <w:r>
        <w:rPr>
          <w:rStyle w:val="a8"/>
        </w:rPr>
        <w:endnoteRef/>
      </w:r>
      <w:r>
        <w:t xml:space="preserve"> </w:t>
      </w:r>
    </w:p>
  </w:endnote>
  <w:endnote w:id="25">
    <w:p w14:paraId="586FE58F" w14:textId="77B80526" w:rsidR="00801782" w:rsidRDefault="00801782">
      <w:pPr>
        <w:pStyle w:val="a6"/>
      </w:pPr>
      <w:r>
        <w:rPr>
          <w:rStyle w:val="a8"/>
        </w:rPr>
        <w:endnoteRef/>
      </w:r>
      <w:r>
        <w:t xml:space="preserve"> </w:t>
      </w:r>
    </w:p>
  </w:endnote>
  <w:endnote w:id="26">
    <w:p w14:paraId="65360CBE" w14:textId="71BBAE03" w:rsidR="00801782" w:rsidRDefault="00801782">
      <w:pPr>
        <w:pStyle w:val="a6"/>
      </w:pPr>
      <w:r>
        <w:rPr>
          <w:rStyle w:val="a8"/>
        </w:rPr>
        <w:endnoteRef/>
      </w:r>
      <w:r>
        <w:t xml:space="preserve"> </w:t>
      </w:r>
    </w:p>
  </w:endnote>
  <w:endnote w:id="27">
    <w:p w14:paraId="24CE3E3D" w14:textId="1E734834" w:rsidR="00801782" w:rsidRDefault="00801782">
      <w:pPr>
        <w:pStyle w:val="a6"/>
      </w:pPr>
      <w:r>
        <w:rPr>
          <w:rStyle w:val="a8"/>
        </w:rPr>
        <w:endnoteRef/>
      </w:r>
      <w:r>
        <w:t xml:space="preserve"> </w:t>
      </w:r>
    </w:p>
  </w:endnote>
  <w:endnote w:id="28">
    <w:p w14:paraId="53575729" w14:textId="16E20F5A" w:rsidR="00801782" w:rsidRDefault="00801782">
      <w:pPr>
        <w:pStyle w:val="a6"/>
      </w:pPr>
      <w:r>
        <w:rPr>
          <w:rStyle w:val="a8"/>
        </w:rPr>
        <w:endnoteRef/>
      </w:r>
      <w:r>
        <w:t xml:space="preserve"> </w:t>
      </w:r>
    </w:p>
  </w:endnote>
  <w:endnote w:id="29">
    <w:p w14:paraId="1F3DCFA7" w14:textId="2D10A6DB" w:rsidR="00801782" w:rsidRDefault="00801782">
      <w:pPr>
        <w:pStyle w:val="a6"/>
      </w:pPr>
      <w:r>
        <w:rPr>
          <w:rStyle w:val="a8"/>
        </w:rPr>
        <w:endnoteRef/>
      </w:r>
      <w:r>
        <w:t xml:space="preserve"> </w:t>
      </w:r>
    </w:p>
  </w:endnote>
  <w:endnote w:id="30">
    <w:p w14:paraId="507308A2" w14:textId="0A60B72F" w:rsidR="00801782" w:rsidRDefault="00801782">
      <w:pPr>
        <w:pStyle w:val="a6"/>
      </w:pPr>
      <w:r>
        <w:rPr>
          <w:rStyle w:val="a8"/>
        </w:rPr>
        <w:endnoteRef/>
      </w:r>
      <w:r>
        <w:t xml:space="preserve"> </w:t>
      </w:r>
    </w:p>
  </w:endnote>
  <w:endnote w:id="31">
    <w:p w14:paraId="015B9DB8" w14:textId="4C5E62B9" w:rsidR="00801782" w:rsidRDefault="00801782">
      <w:pPr>
        <w:pStyle w:val="a6"/>
      </w:pPr>
      <w:r>
        <w:rPr>
          <w:rStyle w:val="a8"/>
        </w:rPr>
        <w:endnoteRef/>
      </w:r>
      <w:r>
        <w:t xml:space="preserve"> </w:t>
      </w:r>
    </w:p>
  </w:endnote>
  <w:endnote w:id="32">
    <w:p w14:paraId="7FBC5704" w14:textId="31611FF4" w:rsidR="00801782" w:rsidRDefault="00801782">
      <w:pPr>
        <w:pStyle w:val="a6"/>
      </w:pPr>
      <w:r>
        <w:rPr>
          <w:rStyle w:val="a8"/>
        </w:rPr>
        <w:endnoteRef/>
      </w:r>
      <w:r>
        <w:t xml:space="preserve"> </w:t>
      </w:r>
    </w:p>
  </w:endnote>
  <w:endnote w:id="33">
    <w:p w14:paraId="53EE782A" w14:textId="49118ED1" w:rsidR="00801782" w:rsidRDefault="00801782">
      <w:pPr>
        <w:pStyle w:val="a6"/>
      </w:pPr>
      <w:r>
        <w:rPr>
          <w:rStyle w:val="a8"/>
        </w:rPr>
        <w:endnoteRef/>
      </w:r>
      <w:r>
        <w:t xml:space="preserve"> </w:t>
      </w:r>
    </w:p>
  </w:endnote>
  <w:endnote w:id="34">
    <w:p w14:paraId="466C098B" w14:textId="3BDE2DB0" w:rsidR="00801782" w:rsidRDefault="00801782">
      <w:pPr>
        <w:pStyle w:val="a6"/>
      </w:pPr>
      <w:r>
        <w:rPr>
          <w:rStyle w:val="a8"/>
        </w:rPr>
        <w:endnoteRef/>
      </w:r>
      <w:r>
        <w:t xml:space="preserve"> </w:t>
      </w:r>
    </w:p>
  </w:endnote>
  <w:endnote w:id="35">
    <w:p w14:paraId="5C411FA3" w14:textId="264D140F" w:rsidR="00801782" w:rsidRDefault="00801782">
      <w:pPr>
        <w:pStyle w:val="a6"/>
      </w:pPr>
      <w:r>
        <w:rPr>
          <w:rStyle w:val="a8"/>
        </w:rPr>
        <w:endnoteRef/>
      </w:r>
      <w:r>
        <w:t xml:space="preserve"> </w:t>
      </w:r>
    </w:p>
  </w:endnote>
  <w:endnote w:id="36">
    <w:p w14:paraId="42E4FBFC" w14:textId="57B9A593" w:rsidR="00801782" w:rsidRDefault="00801782">
      <w:pPr>
        <w:pStyle w:val="a6"/>
      </w:pPr>
      <w:r>
        <w:rPr>
          <w:rStyle w:val="a8"/>
        </w:rPr>
        <w:endnoteRef/>
      </w:r>
      <w:r>
        <w:t xml:space="preserve"> </w:t>
      </w:r>
    </w:p>
  </w:endnote>
  <w:endnote w:id="37">
    <w:p w14:paraId="1CE86121" w14:textId="3155D28C" w:rsidR="00801782" w:rsidRDefault="00801782">
      <w:pPr>
        <w:pStyle w:val="a6"/>
      </w:pPr>
      <w:r>
        <w:rPr>
          <w:rStyle w:val="a8"/>
        </w:rPr>
        <w:endnoteRef/>
      </w:r>
      <w:r>
        <w:t xml:space="preserve"> </w:t>
      </w:r>
    </w:p>
  </w:endnote>
  <w:endnote w:id="38">
    <w:p w14:paraId="38DE65D8" w14:textId="643ABF67" w:rsidR="00801782" w:rsidRDefault="00801782">
      <w:pPr>
        <w:pStyle w:val="a6"/>
      </w:pPr>
      <w:r>
        <w:rPr>
          <w:rStyle w:val="a8"/>
        </w:rPr>
        <w:endnoteRef/>
      </w:r>
      <w:r>
        <w:t xml:space="preserve"> </w:t>
      </w:r>
    </w:p>
  </w:endnote>
  <w:endnote w:id="39">
    <w:p w14:paraId="4115B462" w14:textId="75F87E81" w:rsidR="00801782" w:rsidRDefault="00801782">
      <w:pPr>
        <w:pStyle w:val="a6"/>
      </w:pPr>
      <w:r>
        <w:rPr>
          <w:rStyle w:val="a8"/>
        </w:rPr>
        <w:endnoteRef/>
      </w:r>
      <w:r>
        <w:t xml:space="preserve"> </w:t>
      </w:r>
    </w:p>
  </w:endnote>
  <w:endnote w:id="40">
    <w:p w14:paraId="26F042D7" w14:textId="5701F34F" w:rsidR="00801782" w:rsidRDefault="00801782">
      <w:pPr>
        <w:pStyle w:val="a6"/>
      </w:pPr>
      <w:r>
        <w:rPr>
          <w:rStyle w:val="a8"/>
        </w:rPr>
        <w:endnoteRef/>
      </w:r>
      <w:r>
        <w:t xml:space="preserve"> </w:t>
      </w:r>
    </w:p>
  </w:endnote>
  <w:endnote w:id="41">
    <w:p w14:paraId="1914E95B" w14:textId="57702B36" w:rsidR="00801782" w:rsidRDefault="00801782">
      <w:pPr>
        <w:pStyle w:val="a6"/>
      </w:pPr>
      <w:r>
        <w:rPr>
          <w:rStyle w:val="a8"/>
        </w:rPr>
        <w:endnoteRef/>
      </w:r>
      <w:r>
        <w:t xml:space="preserve"> </w:t>
      </w:r>
    </w:p>
  </w:endnote>
  <w:endnote w:id="42">
    <w:p w14:paraId="3816BF97" w14:textId="11B23F94" w:rsidR="00801782" w:rsidRDefault="00801782">
      <w:pPr>
        <w:pStyle w:val="a6"/>
      </w:pPr>
      <w:r>
        <w:rPr>
          <w:rStyle w:val="a8"/>
        </w:rPr>
        <w:endnoteRef/>
      </w:r>
      <w:r>
        <w:t xml:space="preserve"> </w:t>
      </w:r>
    </w:p>
  </w:endnote>
  <w:endnote w:id="43">
    <w:p w14:paraId="4696D2AD" w14:textId="2A755FE0" w:rsidR="00801782" w:rsidRDefault="00801782">
      <w:pPr>
        <w:pStyle w:val="a6"/>
      </w:pPr>
      <w:r>
        <w:rPr>
          <w:rStyle w:val="a8"/>
        </w:rPr>
        <w:endnoteRef/>
      </w:r>
      <w:r>
        <w:t xml:space="preserve"> </w:t>
      </w:r>
    </w:p>
  </w:endnote>
  <w:endnote w:id="44">
    <w:p w14:paraId="42020732" w14:textId="7FC54BBE" w:rsidR="00801782" w:rsidRDefault="00801782">
      <w:pPr>
        <w:pStyle w:val="a6"/>
      </w:pPr>
      <w:r>
        <w:rPr>
          <w:rStyle w:val="a8"/>
        </w:rPr>
        <w:endnoteRef/>
      </w:r>
      <w:r>
        <w:t xml:space="preserve"> </w:t>
      </w:r>
    </w:p>
  </w:endnote>
  <w:endnote w:id="45">
    <w:p w14:paraId="4DF638E7" w14:textId="4DF2892E" w:rsidR="00801782" w:rsidRDefault="00801782">
      <w:pPr>
        <w:pStyle w:val="a6"/>
      </w:pPr>
      <w:r>
        <w:rPr>
          <w:rStyle w:val="a8"/>
        </w:rPr>
        <w:endnoteRef/>
      </w:r>
      <w:r>
        <w:t xml:space="preserve"> </w:t>
      </w:r>
    </w:p>
  </w:endnote>
  <w:endnote w:id="46">
    <w:p w14:paraId="1B9133EB" w14:textId="7E9D109E" w:rsidR="00801782" w:rsidRDefault="00801782">
      <w:pPr>
        <w:pStyle w:val="a6"/>
      </w:pPr>
      <w:r>
        <w:rPr>
          <w:rStyle w:val="a8"/>
        </w:rPr>
        <w:endnoteRef/>
      </w:r>
      <w:r>
        <w:t xml:space="preserve"> </w:t>
      </w:r>
    </w:p>
  </w:endnote>
  <w:endnote w:id="47">
    <w:p w14:paraId="372E42DF" w14:textId="128192F7" w:rsidR="00801782" w:rsidRDefault="00801782">
      <w:pPr>
        <w:pStyle w:val="a6"/>
      </w:pPr>
      <w:r>
        <w:rPr>
          <w:rStyle w:val="a8"/>
        </w:rPr>
        <w:endnoteRef/>
      </w:r>
      <w:r>
        <w:t xml:space="preserve"> </w:t>
      </w:r>
    </w:p>
  </w:endnote>
  <w:endnote w:id="48">
    <w:p w14:paraId="3101C88D" w14:textId="04CB8D95" w:rsidR="00801782" w:rsidRDefault="00801782">
      <w:pPr>
        <w:pStyle w:val="a6"/>
      </w:pPr>
      <w:r>
        <w:rPr>
          <w:rStyle w:val="a8"/>
        </w:rPr>
        <w:endnoteRef/>
      </w:r>
      <w:r>
        <w:t xml:space="preserve"> </w:t>
      </w:r>
    </w:p>
  </w:endnote>
  <w:endnote w:id="49">
    <w:p w14:paraId="7A2B1843" w14:textId="00035D6C" w:rsidR="00801782" w:rsidRDefault="00801782">
      <w:pPr>
        <w:pStyle w:val="a6"/>
      </w:pPr>
      <w:r>
        <w:rPr>
          <w:rStyle w:val="a8"/>
        </w:rPr>
        <w:endnoteRef/>
      </w:r>
      <w:r>
        <w:t xml:space="preserve"> </w:t>
      </w:r>
    </w:p>
  </w:endnote>
  <w:endnote w:id="50">
    <w:p w14:paraId="5F49EBB3" w14:textId="15998A76" w:rsidR="00801782" w:rsidRDefault="00801782">
      <w:pPr>
        <w:pStyle w:val="a6"/>
      </w:pPr>
      <w:r>
        <w:rPr>
          <w:rStyle w:val="a8"/>
        </w:rPr>
        <w:endnoteRef/>
      </w:r>
      <w:r>
        <w:t xml:space="preserve"> </w:t>
      </w:r>
    </w:p>
  </w:endnote>
  <w:endnote w:id="51">
    <w:p w14:paraId="5477E66E" w14:textId="41B911C1" w:rsidR="00801782" w:rsidRDefault="00801782">
      <w:pPr>
        <w:pStyle w:val="a6"/>
      </w:pPr>
      <w:r>
        <w:rPr>
          <w:rStyle w:val="a8"/>
        </w:rPr>
        <w:endnoteRef/>
      </w:r>
      <w:r>
        <w:t xml:space="preserve"> </w:t>
      </w:r>
    </w:p>
  </w:endnote>
  <w:endnote w:id="52">
    <w:p w14:paraId="7B116D5A" w14:textId="32EAEF7A" w:rsidR="00801782" w:rsidRDefault="00801782">
      <w:pPr>
        <w:pStyle w:val="a6"/>
      </w:pPr>
      <w:r>
        <w:rPr>
          <w:rStyle w:val="a8"/>
        </w:rPr>
        <w:endnoteRef/>
      </w:r>
      <w:r>
        <w:t xml:space="preserve"> </w:t>
      </w:r>
    </w:p>
  </w:endnote>
  <w:endnote w:id="53">
    <w:p w14:paraId="708B4D25" w14:textId="58079358" w:rsidR="00801782" w:rsidRDefault="00801782">
      <w:pPr>
        <w:pStyle w:val="a6"/>
      </w:pPr>
      <w:r>
        <w:rPr>
          <w:rStyle w:val="a8"/>
        </w:rPr>
        <w:endnoteRef/>
      </w:r>
      <w:r>
        <w:t xml:space="preserve"> </w:t>
      </w:r>
    </w:p>
  </w:endnote>
  <w:endnote w:id="54">
    <w:p w14:paraId="6C6DD76E" w14:textId="74D71E48" w:rsidR="00801782" w:rsidRDefault="00801782">
      <w:pPr>
        <w:pStyle w:val="a6"/>
      </w:pPr>
      <w:r>
        <w:rPr>
          <w:rStyle w:val="a8"/>
        </w:rPr>
        <w:endnoteRef/>
      </w:r>
      <w:r>
        <w:t xml:space="preserve"> </w:t>
      </w:r>
    </w:p>
  </w:endnote>
  <w:endnote w:id="55">
    <w:p w14:paraId="51AABA0C" w14:textId="1017A3C9" w:rsidR="00801782" w:rsidRDefault="00801782">
      <w:pPr>
        <w:pStyle w:val="a6"/>
      </w:pPr>
      <w:r>
        <w:rPr>
          <w:rStyle w:val="a8"/>
        </w:rPr>
        <w:endnoteRef/>
      </w:r>
      <w:r>
        <w:t xml:space="preserve"> </w:t>
      </w:r>
    </w:p>
  </w:endnote>
  <w:endnote w:id="56">
    <w:p w14:paraId="0655EF1C" w14:textId="2B752989" w:rsidR="00801782" w:rsidRDefault="00801782">
      <w:pPr>
        <w:pStyle w:val="a6"/>
      </w:pPr>
      <w:r>
        <w:rPr>
          <w:rStyle w:val="a8"/>
        </w:rPr>
        <w:endnoteRef/>
      </w:r>
      <w:r>
        <w:t xml:space="preserve"> </w:t>
      </w:r>
    </w:p>
  </w:endnote>
  <w:endnote w:id="57">
    <w:p w14:paraId="44A9DD5E" w14:textId="25316ACA" w:rsidR="00801782" w:rsidRDefault="00801782">
      <w:pPr>
        <w:pStyle w:val="a6"/>
      </w:pPr>
      <w:r>
        <w:rPr>
          <w:rStyle w:val="a8"/>
        </w:rPr>
        <w:endnoteRef/>
      </w:r>
      <w:r>
        <w:t xml:space="preserve"> </w:t>
      </w:r>
    </w:p>
  </w:endnote>
  <w:endnote w:id="58">
    <w:p w14:paraId="69690E48" w14:textId="3E032CD0" w:rsidR="00801782" w:rsidRDefault="00801782">
      <w:pPr>
        <w:pStyle w:val="a6"/>
      </w:pPr>
      <w:r>
        <w:rPr>
          <w:rStyle w:val="a8"/>
        </w:rPr>
        <w:endnoteRef/>
      </w:r>
      <w:r>
        <w:t xml:space="preserve"> </w:t>
      </w:r>
    </w:p>
  </w:endnote>
  <w:endnote w:id="59">
    <w:p w14:paraId="7F251278" w14:textId="2EA679C6" w:rsidR="00801782" w:rsidRDefault="00801782">
      <w:pPr>
        <w:pStyle w:val="a6"/>
      </w:pPr>
      <w:r>
        <w:rPr>
          <w:rStyle w:val="a8"/>
        </w:rPr>
        <w:endnoteRef/>
      </w:r>
      <w:r>
        <w:t xml:space="preserve"> </w:t>
      </w:r>
    </w:p>
  </w:endnote>
  <w:endnote w:id="60">
    <w:p w14:paraId="35090C80" w14:textId="7C3996E7" w:rsidR="00801782" w:rsidRDefault="00801782">
      <w:pPr>
        <w:pStyle w:val="a6"/>
      </w:pPr>
      <w:r>
        <w:rPr>
          <w:rStyle w:val="a8"/>
        </w:rPr>
        <w:endnoteRef/>
      </w:r>
      <w:r>
        <w:t xml:space="preserve"> </w:t>
      </w:r>
    </w:p>
  </w:endnote>
  <w:endnote w:id="61">
    <w:p w14:paraId="467BBD98" w14:textId="72F94841" w:rsidR="00801782" w:rsidRDefault="00801782">
      <w:pPr>
        <w:pStyle w:val="a6"/>
      </w:pPr>
      <w:r>
        <w:rPr>
          <w:rStyle w:val="a8"/>
        </w:rPr>
        <w:endnoteRef/>
      </w:r>
      <w:r>
        <w:t xml:space="preserve"> </w:t>
      </w:r>
    </w:p>
  </w:endnote>
  <w:endnote w:id="62">
    <w:p w14:paraId="75BD97A2" w14:textId="139FA314" w:rsidR="00801782" w:rsidRDefault="00801782">
      <w:pPr>
        <w:pStyle w:val="a6"/>
      </w:pPr>
      <w:r>
        <w:rPr>
          <w:rStyle w:val="a8"/>
        </w:rPr>
        <w:endnoteRef/>
      </w:r>
      <w:r>
        <w:t xml:space="preserve"> </w:t>
      </w:r>
    </w:p>
  </w:endnote>
  <w:endnote w:id="63">
    <w:p w14:paraId="5FCCDF8A" w14:textId="4C9D04F6" w:rsidR="00801782" w:rsidRDefault="00801782">
      <w:pPr>
        <w:pStyle w:val="a6"/>
      </w:pPr>
      <w:r>
        <w:rPr>
          <w:rStyle w:val="a8"/>
        </w:rPr>
        <w:endnoteRef/>
      </w:r>
      <w:r>
        <w:t xml:space="preserve"> </w:t>
      </w:r>
    </w:p>
  </w:endnote>
  <w:endnote w:id="64">
    <w:p w14:paraId="4126649D" w14:textId="785E89E4" w:rsidR="00801782" w:rsidRDefault="00801782">
      <w:pPr>
        <w:pStyle w:val="a6"/>
      </w:pPr>
      <w:r>
        <w:rPr>
          <w:rStyle w:val="a8"/>
        </w:rPr>
        <w:endnoteRef/>
      </w:r>
      <w:r>
        <w:t xml:space="preserve"> </w:t>
      </w:r>
    </w:p>
  </w:endnote>
  <w:endnote w:id="65">
    <w:p w14:paraId="455D0685" w14:textId="70993468" w:rsidR="00801782" w:rsidRDefault="00801782">
      <w:pPr>
        <w:pStyle w:val="a6"/>
      </w:pPr>
      <w:r>
        <w:rPr>
          <w:rStyle w:val="a8"/>
        </w:rPr>
        <w:endnoteRef/>
      </w:r>
      <w:r>
        <w:t xml:space="preserve"> </w:t>
      </w:r>
    </w:p>
  </w:endnote>
  <w:endnote w:id="66">
    <w:p w14:paraId="033540BA" w14:textId="14F2166C" w:rsidR="00801782" w:rsidRDefault="00801782">
      <w:pPr>
        <w:pStyle w:val="a6"/>
      </w:pPr>
      <w:r>
        <w:rPr>
          <w:rStyle w:val="a8"/>
        </w:rPr>
        <w:endnoteRef/>
      </w:r>
      <w:r>
        <w:t xml:space="preserve"> </w:t>
      </w:r>
    </w:p>
  </w:endnote>
  <w:endnote w:id="67">
    <w:p w14:paraId="63612651" w14:textId="43ABDA43" w:rsidR="00801782" w:rsidRDefault="00801782">
      <w:pPr>
        <w:pStyle w:val="a6"/>
      </w:pPr>
      <w:r>
        <w:rPr>
          <w:rStyle w:val="a8"/>
        </w:rPr>
        <w:endnoteRef/>
      </w:r>
      <w:r>
        <w:t xml:space="preserve"> </w:t>
      </w:r>
    </w:p>
  </w:endnote>
  <w:endnote w:id="68">
    <w:p w14:paraId="333C0D0B" w14:textId="5A324E18" w:rsidR="00801782" w:rsidRDefault="00801782">
      <w:pPr>
        <w:pStyle w:val="a6"/>
      </w:pPr>
      <w:r>
        <w:rPr>
          <w:rStyle w:val="a8"/>
        </w:rPr>
        <w:endnoteRef/>
      </w:r>
      <w:r>
        <w:t xml:space="preserve"> </w:t>
      </w:r>
    </w:p>
  </w:endnote>
  <w:endnote w:id="69">
    <w:p w14:paraId="3971EBFE" w14:textId="149036F8" w:rsidR="00801782" w:rsidRDefault="00801782">
      <w:pPr>
        <w:pStyle w:val="a6"/>
      </w:pPr>
      <w:r>
        <w:rPr>
          <w:rStyle w:val="a8"/>
        </w:rPr>
        <w:endnoteRef/>
      </w:r>
      <w:r>
        <w:t xml:space="preserve"> </w:t>
      </w:r>
    </w:p>
  </w:endnote>
  <w:endnote w:id="70">
    <w:p w14:paraId="374911EC" w14:textId="29D96E50" w:rsidR="00801782" w:rsidRDefault="00801782">
      <w:pPr>
        <w:pStyle w:val="a6"/>
      </w:pPr>
      <w:r>
        <w:rPr>
          <w:rStyle w:val="a8"/>
        </w:rPr>
        <w:endnoteRef/>
      </w:r>
      <w:r>
        <w:t xml:space="preserve"> </w:t>
      </w:r>
    </w:p>
  </w:endnote>
  <w:endnote w:id="71">
    <w:p w14:paraId="7CA3F37A" w14:textId="4DBC3FF2" w:rsidR="00801782" w:rsidRDefault="00801782">
      <w:pPr>
        <w:pStyle w:val="a6"/>
      </w:pPr>
      <w:r>
        <w:rPr>
          <w:rStyle w:val="a8"/>
        </w:rPr>
        <w:endnoteRef/>
      </w:r>
      <w:r>
        <w:t xml:space="preserve"> </w:t>
      </w:r>
    </w:p>
  </w:endnote>
  <w:endnote w:id="72">
    <w:p w14:paraId="46070629" w14:textId="65BB10BA" w:rsidR="00801782" w:rsidRDefault="00801782">
      <w:pPr>
        <w:pStyle w:val="a6"/>
      </w:pPr>
      <w:r>
        <w:rPr>
          <w:rStyle w:val="a8"/>
        </w:rPr>
        <w:endnoteRef/>
      </w:r>
      <w:r>
        <w:t xml:space="preserve"> </w:t>
      </w:r>
    </w:p>
  </w:endnote>
  <w:endnote w:id="73">
    <w:p w14:paraId="75842B71" w14:textId="77777777" w:rsidR="00801782" w:rsidRDefault="00801782" w:rsidP="00EA40C8">
      <w:pPr>
        <w:pStyle w:val="a6"/>
      </w:pPr>
      <w:r>
        <w:rPr>
          <w:rStyle w:val="a8"/>
        </w:rPr>
        <w:endnoteRef/>
      </w:r>
      <w:r>
        <w:t xml:space="preserve"> </w:t>
      </w:r>
    </w:p>
  </w:endnote>
  <w:endnote w:id="74">
    <w:p w14:paraId="4C474442" w14:textId="0DA5879F" w:rsidR="00801782" w:rsidRDefault="00801782">
      <w:pPr>
        <w:pStyle w:val="a6"/>
      </w:pPr>
      <w:r>
        <w:rPr>
          <w:rStyle w:val="a8"/>
        </w:rPr>
        <w:endnoteRef/>
      </w:r>
      <w:r>
        <w:t xml:space="preserve"> </w:t>
      </w:r>
    </w:p>
  </w:endnote>
  <w:endnote w:id="75">
    <w:p w14:paraId="334A959E" w14:textId="64EC32B5" w:rsidR="00801782" w:rsidRDefault="00801782">
      <w:pPr>
        <w:pStyle w:val="a6"/>
      </w:pPr>
      <w:r>
        <w:rPr>
          <w:rStyle w:val="a8"/>
        </w:rPr>
        <w:endnoteRef/>
      </w:r>
      <w:r>
        <w:t xml:space="preserve"> </w:t>
      </w:r>
    </w:p>
  </w:endnote>
  <w:endnote w:id="76">
    <w:p w14:paraId="27E545D9" w14:textId="47987605" w:rsidR="00801782" w:rsidRDefault="00801782">
      <w:pPr>
        <w:pStyle w:val="a6"/>
      </w:pPr>
      <w:r>
        <w:rPr>
          <w:rStyle w:val="a8"/>
        </w:rPr>
        <w:endnoteRef/>
      </w:r>
      <w:r>
        <w:t xml:space="preserve"> </w:t>
      </w:r>
    </w:p>
  </w:endnote>
  <w:endnote w:id="77">
    <w:p w14:paraId="0960EF15" w14:textId="078EE562" w:rsidR="00801782" w:rsidRDefault="00801782">
      <w:pPr>
        <w:pStyle w:val="a6"/>
      </w:pPr>
      <w:r>
        <w:rPr>
          <w:rStyle w:val="a8"/>
        </w:rPr>
        <w:endnoteRef/>
      </w:r>
      <w:r>
        <w:t xml:space="preserve"> </w:t>
      </w:r>
    </w:p>
  </w:endnote>
  <w:endnote w:id="78">
    <w:p w14:paraId="72EA46B0" w14:textId="388A207C" w:rsidR="00801782" w:rsidRDefault="00801782">
      <w:pPr>
        <w:pStyle w:val="a6"/>
      </w:pPr>
      <w:r>
        <w:rPr>
          <w:rStyle w:val="a8"/>
        </w:rPr>
        <w:endnoteRef/>
      </w:r>
      <w:r>
        <w:t xml:space="preserve"> </w:t>
      </w:r>
    </w:p>
  </w:endnote>
  <w:endnote w:id="79">
    <w:p w14:paraId="40BE1E89" w14:textId="7D4FA644" w:rsidR="00801782" w:rsidRDefault="00801782">
      <w:pPr>
        <w:pStyle w:val="a6"/>
      </w:pPr>
      <w:r>
        <w:rPr>
          <w:rStyle w:val="a8"/>
        </w:rPr>
        <w:endnoteRef/>
      </w:r>
      <w:r>
        <w:t xml:space="preserve"> </w:t>
      </w:r>
    </w:p>
  </w:endnote>
  <w:endnote w:id="80">
    <w:p w14:paraId="39DB4A99" w14:textId="4C422AC3" w:rsidR="00801782" w:rsidRDefault="00801782">
      <w:pPr>
        <w:pStyle w:val="a6"/>
      </w:pPr>
      <w:r>
        <w:rPr>
          <w:rStyle w:val="a8"/>
        </w:rPr>
        <w:endnoteRef/>
      </w:r>
      <w:r>
        <w:t xml:space="preserve"> </w:t>
      </w:r>
    </w:p>
  </w:endnote>
  <w:endnote w:id="81">
    <w:p w14:paraId="4707591A" w14:textId="03859744" w:rsidR="00801782" w:rsidRDefault="00801782">
      <w:pPr>
        <w:pStyle w:val="a6"/>
      </w:pPr>
      <w:r>
        <w:rPr>
          <w:rStyle w:val="a8"/>
        </w:rPr>
        <w:endnoteRef/>
      </w:r>
      <w:r>
        <w:t xml:space="preserve"> </w:t>
      </w:r>
    </w:p>
  </w:endnote>
  <w:endnote w:id="82">
    <w:p w14:paraId="67800C77" w14:textId="4668E29F" w:rsidR="00801782" w:rsidRDefault="00801782">
      <w:pPr>
        <w:pStyle w:val="a6"/>
      </w:pPr>
      <w:r>
        <w:rPr>
          <w:rStyle w:val="a8"/>
        </w:rPr>
        <w:endnoteRef/>
      </w:r>
      <w:r>
        <w:t xml:space="preserve"> </w:t>
      </w:r>
    </w:p>
  </w:endnote>
  <w:endnote w:id="83">
    <w:p w14:paraId="48AE5EC1" w14:textId="1D0BE8BE" w:rsidR="00801782" w:rsidRDefault="00801782">
      <w:pPr>
        <w:pStyle w:val="a6"/>
      </w:pPr>
      <w:r>
        <w:rPr>
          <w:rStyle w:val="a8"/>
        </w:rPr>
        <w:endnoteRef/>
      </w:r>
      <w:r>
        <w:t xml:space="preserve"> </w:t>
      </w:r>
    </w:p>
  </w:endnote>
  <w:endnote w:id="84">
    <w:p w14:paraId="7DE87EE6" w14:textId="07A0844D" w:rsidR="00801782" w:rsidRDefault="00801782">
      <w:pPr>
        <w:pStyle w:val="a6"/>
      </w:pPr>
      <w:r>
        <w:rPr>
          <w:rStyle w:val="a8"/>
        </w:rPr>
        <w:endnoteRef/>
      </w:r>
      <w:r>
        <w:t xml:space="preserve"> </w:t>
      </w:r>
    </w:p>
  </w:endnote>
  <w:endnote w:id="85">
    <w:p w14:paraId="1E36D860" w14:textId="5B071E79" w:rsidR="00801782" w:rsidRDefault="00801782">
      <w:pPr>
        <w:pStyle w:val="a6"/>
      </w:pPr>
      <w:r>
        <w:rPr>
          <w:rStyle w:val="a8"/>
        </w:rPr>
        <w:endnoteRef/>
      </w:r>
      <w:r>
        <w:t xml:space="preserve"> </w:t>
      </w:r>
    </w:p>
  </w:endnote>
  <w:endnote w:id="86">
    <w:p w14:paraId="4EB64D6D" w14:textId="204886E3" w:rsidR="00801782" w:rsidRDefault="00801782">
      <w:pPr>
        <w:pStyle w:val="a6"/>
      </w:pPr>
      <w:r>
        <w:rPr>
          <w:rStyle w:val="a8"/>
        </w:rPr>
        <w:endnoteRef/>
      </w:r>
      <w:r>
        <w:t xml:space="preserve"> </w:t>
      </w:r>
    </w:p>
  </w:endnote>
  <w:endnote w:id="87">
    <w:p w14:paraId="75D95A69" w14:textId="5AC05E5B" w:rsidR="00801782" w:rsidRDefault="00801782">
      <w:pPr>
        <w:pStyle w:val="a6"/>
      </w:pPr>
      <w:r>
        <w:rPr>
          <w:rStyle w:val="a8"/>
        </w:rPr>
        <w:endnoteRef/>
      </w:r>
      <w:r>
        <w:t xml:space="preserve"> </w:t>
      </w:r>
    </w:p>
  </w:endnote>
  <w:endnote w:id="88">
    <w:p w14:paraId="4CCE86E6" w14:textId="435ECC3E" w:rsidR="00801782" w:rsidRDefault="00801782">
      <w:pPr>
        <w:pStyle w:val="a6"/>
      </w:pPr>
      <w:r>
        <w:rPr>
          <w:rStyle w:val="a8"/>
        </w:rPr>
        <w:endnoteRef/>
      </w:r>
      <w:r>
        <w:t xml:space="preserve"> </w:t>
      </w:r>
    </w:p>
  </w:endnote>
  <w:endnote w:id="89">
    <w:p w14:paraId="0335C730" w14:textId="15FBC5FB" w:rsidR="00801782" w:rsidRDefault="00801782">
      <w:pPr>
        <w:pStyle w:val="a6"/>
      </w:pPr>
      <w:r>
        <w:rPr>
          <w:rStyle w:val="a8"/>
        </w:rPr>
        <w:endnoteRef/>
      </w:r>
      <w:r>
        <w:t xml:space="preserve"> </w:t>
      </w:r>
    </w:p>
  </w:endnote>
  <w:endnote w:id="90">
    <w:p w14:paraId="30585212" w14:textId="17574E4F" w:rsidR="00801782" w:rsidRDefault="00801782">
      <w:pPr>
        <w:pStyle w:val="a6"/>
      </w:pPr>
      <w:r>
        <w:rPr>
          <w:rStyle w:val="a8"/>
        </w:rPr>
        <w:endnoteRef/>
      </w:r>
      <w:r>
        <w:t xml:space="preserve"> </w:t>
      </w:r>
    </w:p>
  </w:endnote>
  <w:endnote w:id="91">
    <w:p w14:paraId="7CD9490A" w14:textId="7F76CFBA" w:rsidR="00801782" w:rsidRDefault="00801782">
      <w:pPr>
        <w:pStyle w:val="a6"/>
      </w:pPr>
      <w:r>
        <w:rPr>
          <w:rStyle w:val="a8"/>
        </w:rPr>
        <w:endnoteRef/>
      </w:r>
      <w:r>
        <w:t xml:space="preserve"> </w:t>
      </w:r>
    </w:p>
  </w:endnote>
  <w:endnote w:id="92">
    <w:p w14:paraId="0B4B9A93" w14:textId="34B7F6ED" w:rsidR="00801782" w:rsidRDefault="00801782">
      <w:pPr>
        <w:pStyle w:val="a6"/>
      </w:pPr>
      <w:r>
        <w:rPr>
          <w:rStyle w:val="a8"/>
        </w:rPr>
        <w:endnoteRef/>
      </w:r>
      <w:r>
        <w:t xml:space="preserve"> </w:t>
      </w:r>
    </w:p>
  </w:endnote>
  <w:endnote w:id="93">
    <w:p w14:paraId="022A1848" w14:textId="1B909598" w:rsidR="00801782" w:rsidRDefault="00801782">
      <w:pPr>
        <w:pStyle w:val="a6"/>
      </w:pPr>
      <w:r>
        <w:rPr>
          <w:rStyle w:val="a8"/>
        </w:rPr>
        <w:endnoteRef/>
      </w:r>
      <w:r>
        <w:t xml:space="preserve"> </w:t>
      </w:r>
    </w:p>
  </w:endnote>
  <w:endnote w:id="94">
    <w:p w14:paraId="5FF5E4C3" w14:textId="3A001F06" w:rsidR="00801782" w:rsidRDefault="00801782">
      <w:pPr>
        <w:pStyle w:val="a6"/>
      </w:pPr>
      <w:r>
        <w:rPr>
          <w:rStyle w:val="a8"/>
        </w:rPr>
        <w:endnoteRef/>
      </w:r>
      <w:r>
        <w:t xml:space="preserve"> </w:t>
      </w:r>
    </w:p>
  </w:endnote>
  <w:endnote w:id="95">
    <w:p w14:paraId="5E3E73B3" w14:textId="454DC375" w:rsidR="00801782" w:rsidRDefault="00801782">
      <w:pPr>
        <w:pStyle w:val="a6"/>
      </w:pPr>
      <w:r>
        <w:rPr>
          <w:rStyle w:val="a8"/>
        </w:rPr>
        <w:endnoteRef/>
      </w:r>
      <w:r>
        <w:t xml:space="preserve"> </w:t>
      </w:r>
    </w:p>
  </w:endnote>
  <w:endnote w:id="96">
    <w:p w14:paraId="45E25758" w14:textId="306767B6" w:rsidR="00801782" w:rsidRDefault="00801782">
      <w:pPr>
        <w:pStyle w:val="a6"/>
      </w:pPr>
      <w:r>
        <w:rPr>
          <w:rStyle w:val="a8"/>
        </w:rPr>
        <w:endnoteRef/>
      </w:r>
      <w:r>
        <w:t xml:space="preserve"> </w:t>
      </w:r>
    </w:p>
  </w:endnote>
  <w:endnote w:id="97">
    <w:p w14:paraId="5412C6B3" w14:textId="776C6CE6" w:rsidR="00801782" w:rsidRDefault="00801782">
      <w:pPr>
        <w:pStyle w:val="a6"/>
      </w:pPr>
      <w:r>
        <w:rPr>
          <w:rStyle w:val="a8"/>
        </w:rPr>
        <w:endnoteRef/>
      </w:r>
      <w:r>
        <w:t xml:space="preserve"> </w:t>
      </w:r>
    </w:p>
  </w:endnote>
  <w:endnote w:id="98">
    <w:p w14:paraId="41023FA2" w14:textId="2E5432DB" w:rsidR="00801782" w:rsidRDefault="00801782">
      <w:pPr>
        <w:pStyle w:val="a6"/>
      </w:pPr>
      <w:r>
        <w:rPr>
          <w:rStyle w:val="a8"/>
        </w:rPr>
        <w:endnoteRef/>
      </w:r>
      <w:r>
        <w:t xml:space="preserve"> </w:t>
      </w:r>
    </w:p>
  </w:endnote>
  <w:endnote w:id="99">
    <w:p w14:paraId="14912FFA" w14:textId="577D446A" w:rsidR="00801782" w:rsidRDefault="00801782">
      <w:pPr>
        <w:pStyle w:val="a6"/>
      </w:pPr>
      <w:r>
        <w:rPr>
          <w:rStyle w:val="a8"/>
        </w:rPr>
        <w:endnoteRef/>
      </w:r>
      <w:r>
        <w:t xml:space="preserve"> </w:t>
      </w:r>
    </w:p>
  </w:endnote>
  <w:endnote w:id="100">
    <w:p w14:paraId="315C843C" w14:textId="3980B01F" w:rsidR="00801782" w:rsidRDefault="00801782">
      <w:pPr>
        <w:pStyle w:val="a6"/>
      </w:pPr>
      <w:r>
        <w:rPr>
          <w:rStyle w:val="a8"/>
        </w:rPr>
        <w:endnoteRef/>
      </w:r>
      <w:r>
        <w:t xml:space="preserve"> </w:t>
      </w:r>
    </w:p>
  </w:endnote>
  <w:endnote w:id="101">
    <w:p w14:paraId="1ED3DBC3" w14:textId="35D75349" w:rsidR="00801782" w:rsidRDefault="00801782">
      <w:pPr>
        <w:pStyle w:val="a6"/>
      </w:pPr>
      <w:r>
        <w:rPr>
          <w:rStyle w:val="a8"/>
        </w:rPr>
        <w:endnoteRef/>
      </w:r>
      <w:r>
        <w:t xml:space="preserve"> </w:t>
      </w:r>
    </w:p>
  </w:endnote>
  <w:endnote w:id="102">
    <w:p w14:paraId="331565BC" w14:textId="522F1768" w:rsidR="00801782" w:rsidRDefault="00801782">
      <w:pPr>
        <w:pStyle w:val="a6"/>
      </w:pPr>
      <w:r>
        <w:rPr>
          <w:rStyle w:val="a8"/>
        </w:rPr>
        <w:endnoteRef/>
      </w:r>
      <w:r>
        <w:t xml:space="preserve"> </w:t>
      </w:r>
    </w:p>
  </w:endnote>
  <w:endnote w:id="103">
    <w:p w14:paraId="0A0FEB60" w14:textId="72C6EB4C" w:rsidR="00801782" w:rsidRDefault="00801782">
      <w:pPr>
        <w:pStyle w:val="a6"/>
      </w:pPr>
      <w:r>
        <w:rPr>
          <w:rStyle w:val="a8"/>
        </w:rPr>
        <w:endnoteRef/>
      </w:r>
      <w:r>
        <w:t xml:space="preserve"> </w:t>
      </w:r>
    </w:p>
  </w:endnote>
  <w:endnote w:id="104">
    <w:p w14:paraId="26596DA1" w14:textId="667F6FC7" w:rsidR="00801782" w:rsidRDefault="00801782">
      <w:pPr>
        <w:pStyle w:val="a6"/>
      </w:pPr>
      <w:r>
        <w:rPr>
          <w:rStyle w:val="a8"/>
        </w:rPr>
        <w:endnoteRef/>
      </w:r>
      <w:r>
        <w:t xml:space="preserve"> </w:t>
      </w:r>
    </w:p>
  </w:endnote>
  <w:endnote w:id="105">
    <w:p w14:paraId="46A23D17" w14:textId="198D9E08" w:rsidR="00801782" w:rsidRDefault="00801782">
      <w:pPr>
        <w:pStyle w:val="a6"/>
      </w:pPr>
      <w:r>
        <w:rPr>
          <w:rStyle w:val="a8"/>
        </w:rPr>
        <w:endnoteRef/>
      </w:r>
      <w:r>
        <w:t xml:space="preserve"> </w:t>
      </w:r>
    </w:p>
  </w:endnote>
  <w:endnote w:id="106">
    <w:p w14:paraId="3162F942" w14:textId="706C4017" w:rsidR="00801782" w:rsidRDefault="00801782">
      <w:pPr>
        <w:pStyle w:val="a6"/>
      </w:pPr>
      <w:r>
        <w:rPr>
          <w:rStyle w:val="a8"/>
        </w:rPr>
        <w:endnoteRef/>
      </w:r>
      <w:r>
        <w:t xml:space="preserve"> </w:t>
      </w:r>
    </w:p>
  </w:endnote>
  <w:endnote w:id="107">
    <w:p w14:paraId="4948D75E" w14:textId="2B84330D" w:rsidR="00801782" w:rsidRDefault="00801782">
      <w:pPr>
        <w:pStyle w:val="a6"/>
      </w:pPr>
      <w:r>
        <w:rPr>
          <w:rStyle w:val="a8"/>
        </w:rPr>
        <w:endnoteRef/>
      </w:r>
      <w:r>
        <w:t xml:space="preserve"> </w:t>
      </w:r>
    </w:p>
  </w:endnote>
  <w:endnote w:id="108">
    <w:p w14:paraId="3A8F7063" w14:textId="7D7276CF" w:rsidR="00801782" w:rsidRDefault="00801782">
      <w:pPr>
        <w:pStyle w:val="a6"/>
      </w:pPr>
      <w:r>
        <w:rPr>
          <w:rStyle w:val="a8"/>
        </w:rPr>
        <w:endnoteRef/>
      </w:r>
      <w:r>
        <w:t xml:space="preserve"> </w:t>
      </w:r>
    </w:p>
  </w:endnote>
  <w:endnote w:id="109">
    <w:p w14:paraId="0A568881" w14:textId="2D87FF53" w:rsidR="00801782" w:rsidRDefault="00801782">
      <w:pPr>
        <w:pStyle w:val="a6"/>
      </w:pPr>
      <w:r>
        <w:rPr>
          <w:rStyle w:val="a8"/>
        </w:rPr>
        <w:endnoteRef/>
      </w:r>
      <w:r>
        <w:t xml:space="preserve"> </w:t>
      </w:r>
    </w:p>
  </w:endnote>
  <w:endnote w:id="110">
    <w:p w14:paraId="2C2FEF3F" w14:textId="2245B471" w:rsidR="00801782" w:rsidRDefault="00801782">
      <w:pPr>
        <w:pStyle w:val="a6"/>
      </w:pPr>
      <w:r>
        <w:rPr>
          <w:rStyle w:val="a8"/>
        </w:rPr>
        <w:endnoteRef/>
      </w:r>
      <w:r>
        <w:t xml:space="preserve"> </w:t>
      </w:r>
    </w:p>
  </w:endnote>
  <w:endnote w:id="111">
    <w:p w14:paraId="634CC2AA" w14:textId="0964724F" w:rsidR="00801782" w:rsidRDefault="00801782">
      <w:pPr>
        <w:pStyle w:val="a6"/>
      </w:pPr>
      <w:r>
        <w:rPr>
          <w:rStyle w:val="a8"/>
        </w:rPr>
        <w:endnoteRef/>
      </w:r>
      <w:r>
        <w:t xml:space="preserve"> </w:t>
      </w:r>
    </w:p>
  </w:endnote>
  <w:endnote w:id="112">
    <w:p w14:paraId="1E83F1BC" w14:textId="3B62CE68" w:rsidR="00801782" w:rsidRDefault="00801782">
      <w:pPr>
        <w:pStyle w:val="a6"/>
      </w:pPr>
      <w:r>
        <w:rPr>
          <w:rStyle w:val="a8"/>
        </w:rPr>
        <w:endnoteRef/>
      </w:r>
      <w:r>
        <w:t xml:space="preserve"> </w:t>
      </w:r>
    </w:p>
  </w:endnote>
  <w:endnote w:id="113">
    <w:p w14:paraId="4564776B" w14:textId="2E592784" w:rsidR="00801782" w:rsidRDefault="00801782">
      <w:pPr>
        <w:pStyle w:val="a6"/>
      </w:pPr>
      <w:r>
        <w:rPr>
          <w:rStyle w:val="a8"/>
        </w:rPr>
        <w:endnoteRef/>
      </w:r>
      <w:r>
        <w:t xml:space="preserve"> </w:t>
      </w:r>
    </w:p>
  </w:endnote>
  <w:endnote w:id="114">
    <w:p w14:paraId="082BCCAE" w14:textId="2E44243D" w:rsidR="00801782" w:rsidRDefault="00801782">
      <w:pPr>
        <w:pStyle w:val="a6"/>
      </w:pPr>
      <w:r>
        <w:rPr>
          <w:rStyle w:val="a8"/>
        </w:rPr>
        <w:endnoteRef/>
      </w:r>
      <w:r>
        <w:t xml:space="preserve"> </w:t>
      </w:r>
    </w:p>
  </w:endnote>
  <w:endnote w:id="115">
    <w:p w14:paraId="27761F69" w14:textId="00ED1469" w:rsidR="00801782" w:rsidRDefault="00801782">
      <w:pPr>
        <w:pStyle w:val="a6"/>
      </w:pPr>
      <w:r>
        <w:rPr>
          <w:rStyle w:val="a8"/>
        </w:rPr>
        <w:endnoteRef/>
      </w:r>
      <w:r>
        <w:t xml:space="preserve"> </w:t>
      </w:r>
    </w:p>
  </w:endnote>
  <w:endnote w:id="116">
    <w:p w14:paraId="223C683F" w14:textId="4D999E9F" w:rsidR="00801782" w:rsidRDefault="00801782">
      <w:pPr>
        <w:pStyle w:val="a6"/>
      </w:pPr>
      <w:r>
        <w:rPr>
          <w:rStyle w:val="a8"/>
        </w:rPr>
        <w:endnoteRef/>
      </w:r>
      <w:r>
        <w:t xml:space="preserve"> </w:t>
      </w:r>
    </w:p>
  </w:endnote>
  <w:endnote w:id="117">
    <w:p w14:paraId="3A99B3FD" w14:textId="0CB1CCD3" w:rsidR="00801782" w:rsidRDefault="00801782">
      <w:pPr>
        <w:pStyle w:val="a6"/>
      </w:pPr>
      <w:r>
        <w:rPr>
          <w:rStyle w:val="a8"/>
        </w:rPr>
        <w:endnoteRef/>
      </w:r>
      <w:r>
        <w:t xml:space="preserve"> </w:t>
      </w:r>
    </w:p>
  </w:endnote>
  <w:endnote w:id="118">
    <w:p w14:paraId="4D83C44F" w14:textId="7D14B74B" w:rsidR="00801782" w:rsidRDefault="00801782">
      <w:pPr>
        <w:pStyle w:val="a6"/>
      </w:pPr>
      <w:r>
        <w:rPr>
          <w:rStyle w:val="a8"/>
        </w:rPr>
        <w:endnoteRef/>
      </w:r>
      <w:r>
        <w:t xml:space="preserve"> </w:t>
      </w:r>
    </w:p>
  </w:endnote>
  <w:endnote w:id="119">
    <w:p w14:paraId="02493450" w14:textId="428FBE5A" w:rsidR="00801782" w:rsidRDefault="00801782">
      <w:pPr>
        <w:pStyle w:val="a6"/>
      </w:pPr>
      <w:r>
        <w:rPr>
          <w:rStyle w:val="a8"/>
        </w:rPr>
        <w:endnoteRef/>
      </w:r>
      <w:r>
        <w:t xml:space="preserve"> </w:t>
      </w:r>
    </w:p>
  </w:endnote>
  <w:endnote w:id="120">
    <w:p w14:paraId="71941ACE" w14:textId="65C6D312" w:rsidR="00801782" w:rsidRDefault="00801782">
      <w:pPr>
        <w:pStyle w:val="a6"/>
      </w:pPr>
      <w:r>
        <w:rPr>
          <w:rStyle w:val="a8"/>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63823" w14:textId="77777777" w:rsidR="003A3E4D" w:rsidRDefault="003A3E4D" w:rsidP="00792EAD">
      <w:r>
        <w:separator/>
      </w:r>
    </w:p>
  </w:footnote>
  <w:footnote w:type="continuationSeparator" w:id="0">
    <w:p w14:paraId="7CC147B4" w14:textId="77777777" w:rsidR="003A3E4D" w:rsidRDefault="003A3E4D" w:rsidP="00792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62756"/>
    <w:multiLevelType w:val="hybridMultilevel"/>
    <w:tmpl w:val="2F8ECF00"/>
    <w:lvl w:ilvl="0" w:tplc="DECCF19A">
      <w:start w:val="1"/>
      <w:numFmt w:val="upperLetter"/>
      <w:lvlText w:val="%1."/>
      <w:lvlJc w:val="left"/>
      <w:pPr>
        <w:ind w:left="360" w:hanging="360"/>
      </w:pPr>
      <w:rPr>
        <w:rFonts w:hint="default"/>
      </w:rPr>
    </w:lvl>
    <w:lvl w:ilvl="1" w:tplc="DD22FE2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9B79AC"/>
    <w:multiLevelType w:val="hybridMultilevel"/>
    <w:tmpl w:val="BDD417B6"/>
    <w:lvl w:ilvl="0" w:tplc="140A2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61DF3"/>
    <w:multiLevelType w:val="hybridMultilevel"/>
    <w:tmpl w:val="672A4054"/>
    <w:lvl w:ilvl="0" w:tplc="9B0CB01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90053C"/>
    <w:multiLevelType w:val="hybridMultilevel"/>
    <w:tmpl w:val="A732DD32"/>
    <w:lvl w:ilvl="0" w:tplc="246A589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B1"/>
    <w:rsid w:val="000049C7"/>
    <w:rsid w:val="000221DE"/>
    <w:rsid w:val="00024C82"/>
    <w:rsid w:val="00026E58"/>
    <w:rsid w:val="000271B3"/>
    <w:rsid w:val="00032884"/>
    <w:rsid w:val="00032E1C"/>
    <w:rsid w:val="0004203E"/>
    <w:rsid w:val="000423BF"/>
    <w:rsid w:val="00054903"/>
    <w:rsid w:val="00057BEB"/>
    <w:rsid w:val="00065329"/>
    <w:rsid w:val="00071AF1"/>
    <w:rsid w:val="00073B72"/>
    <w:rsid w:val="00075114"/>
    <w:rsid w:val="000769D9"/>
    <w:rsid w:val="00081107"/>
    <w:rsid w:val="0008271A"/>
    <w:rsid w:val="00085002"/>
    <w:rsid w:val="00086956"/>
    <w:rsid w:val="00095232"/>
    <w:rsid w:val="000A0369"/>
    <w:rsid w:val="000A5D82"/>
    <w:rsid w:val="000B078E"/>
    <w:rsid w:val="000B0F79"/>
    <w:rsid w:val="000B3103"/>
    <w:rsid w:val="000C0394"/>
    <w:rsid w:val="000C2A46"/>
    <w:rsid w:val="000C3E3A"/>
    <w:rsid w:val="000C45B2"/>
    <w:rsid w:val="000C62F3"/>
    <w:rsid w:val="000D0AA5"/>
    <w:rsid w:val="000D1802"/>
    <w:rsid w:val="000D2296"/>
    <w:rsid w:val="000D25C1"/>
    <w:rsid w:val="000D4538"/>
    <w:rsid w:val="000D4D12"/>
    <w:rsid w:val="000D6DB2"/>
    <w:rsid w:val="000D73E9"/>
    <w:rsid w:val="000E20E9"/>
    <w:rsid w:val="000E3951"/>
    <w:rsid w:val="000E7723"/>
    <w:rsid w:val="000E7FEF"/>
    <w:rsid w:val="0010286B"/>
    <w:rsid w:val="0010372C"/>
    <w:rsid w:val="00104A92"/>
    <w:rsid w:val="00105EEC"/>
    <w:rsid w:val="00106490"/>
    <w:rsid w:val="00107234"/>
    <w:rsid w:val="0011160C"/>
    <w:rsid w:val="0011681D"/>
    <w:rsid w:val="001223D1"/>
    <w:rsid w:val="0012508D"/>
    <w:rsid w:val="00125F34"/>
    <w:rsid w:val="00132DE1"/>
    <w:rsid w:val="00141444"/>
    <w:rsid w:val="001467B3"/>
    <w:rsid w:val="00147EED"/>
    <w:rsid w:val="0015385D"/>
    <w:rsid w:val="001722DE"/>
    <w:rsid w:val="0017619F"/>
    <w:rsid w:val="00181CF5"/>
    <w:rsid w:val="001824DA"/>
    <w:rsid w:val="00190B6E"/>
    <w:rsid w:val="00191769"/>
    <w:rsid w:val="001A5677"/>
    <w:rsid w:val="001A7474"/>
    <w:rsid w:val="001B47FB"/>
    <w:rsid w:val="001B5D92"/>
    <w:rsid w:val="001B623A"/>
    <w:rsid w:val="001D0335"/>
    <w:rsid w:val="001D121B"/>
    <w:rsid w:val="001D4CA1"/>
    <w:rsid w:val="001F0D1A"/>
    <w:rsid w:val="00203209"/>
    <w:rsid w:val="00204CAC"/>
    <w:rsid w:val="0021415F"/>
    <w:rsid w:val="00220E3E"/>
    <w:rsid w:val="00223928"/>
    <w:rsid w:val="00223B39"/>
    <w:rsid w:val="00225C32"/>
    <w:rsid w:val="00227115"/>
    <w:rsid w:val="0022763E"/>
    <w:rsid w:val="00227884"/>
    <w:rsid w:val="002301DC"/>
    <w:rsid w:val="00240F34"/>
    <w:rsid w:val="00246975"/>
    <w:rsid w:val="00251A4F"/>
    <w:rsid w:val="00253699"/>
    <w:rsid w:val="00266FC7"/>
    <w:rsid w:val="00275210"/>
    <w:rsid w:val="002771EA"/>
    <w:rsid w:val="00285DBB"/>
    <w:rsid w:val="002A0BBF"/>
    <w:rsid w:val="002A305C"/>
    <w:rsid w:val="002B32D4"/>
    <w:rsid w:val="002B3A2D"/>
    <w:rsid w:val="002C075A"/>
    <w:rsid w:val="002C217F"/>
    <w:rsid w:val="002C3F4F"/>
    <w:rsid w:val="002C589E"/>
    <w:rsid w:val="002C6E32"/>
    <w:rsid w:val="002C6F09"/>
    <w:rsid w:val="002D30FE"/>
    <w:rsid w:val="002D4073"/>
    <w:rsid w:val="002D524F"/>
    <w:rsid w:val="002E0CDD"/>
    <w:rsid w:val="002E194B"/>
    <w:rsid w:val="002E1F3E"/>
    <w:rsid w:val="002F5DD6"/>
    <w:rsid w:val="002F7212"/>
    <w:rsid w:val="00304744"/>
    <w:rsid w:val="003153A4"/>
    <w:rsid w:val="00323AA2"/>
    <w:rsid w:val="0032682E"/>
    <w:rsid w:val="00332DDD"/>
    <w:rsid w:val="003379A6"/>
    <w:rsid w:val="00342BA2"/>
    <w:rsid w:val="00343151"/>
    <w:rsid w:val="003457FF"/>
    <w:rsid w:val="00352A19"/>
    <w:rsid w:val="00357501"/>
    <w:rsid w:val="00364B26"/>
    <w:rsid w:val="003731B9"/>
    <w:rsid w:val="003736CD"/>
    <w:rsid w:val="00374F7C"/>
    <w:rsid w:val="0037571E"/>
    <w:rsid w:val="0037720C"/>
    <w:rsid w:val="00380746"/>
    <w:rsid w:val="00382E1A"/>
    <w:rsid w:val="00387371"/>
    <w:rsid w:val="00396534"/>
    <w:rsid w:val="003A3E4D"/>
    <w:rsid w:val="003A4EFA"/>
    <w:rsid w:val="003A6789"/>
    <w:rsid w:val="003B0ACF"/>
    <w:rsid w:val="003B34B6"/>
    <w:rsid w:val="003B68D8"/>
    <w:rsid w:val="003B6A08"/>
    <w:rsid w:val="003D05F7"/>
    <w:rsid w:val="003D0C5A"/>
    <w:rsid w:val="003E23E7"/>
    <w:rsid w:val="003E3461"/>
    <w:rsid w:val="003F23D6"/>
    <w:rsid w:val="003F5435"/>
    <w:rsid w:val="003F753B"/>
    <w:rsid w:val="00400910"/>
    <w:rsid w:val="00411432"/>
    <w:rsid w:val="00423D42"/>
    <w:rsid w:val="0042576F"/>
    <w:rsid w:val="00427DA5"/>
    <w:rsid w:val="00430E57"/>
    <w:rsid w:val="004329B6"/>
    <w:rsid w:val="0043453E"/>
    <w:rsid w:val="00436075"/>
    <w:rsid w:val="0044375B"/>
    <w:rsid w:val="004470C4"/>
    <w:rsid w:val="0045105D"/>
    <w:rsid w:val="00452B7E"/>
    <w:rsid w:val="00453F59"/>
    <w:rsid w:val="004740CA"/>
    <w:rsid w:val="0048779F"/>
    <w:rsid w:val="00491207"/>
    <w:rsid w:val="004922C7"/>
    <w:rsid w:val="00492990"/>
    <w:rsid w:val="00492B46"/>
    <w:rsid w:val="004930B9"/>
    <w:rsid w:val="004A3A98"/>
    <w:rsid w:val="004C01EB"/>
    <w:rsid w:val="004C1B4E"/>
    <w:rsid w:val="004C3998"/>
    <w:rsid w:val="004D1AB1"/>
    <w:rsid w:val="004D29EA"/>
    <w:rsid w:val="004E0896"/>
    <w:rsid w:val="004F07ED"/>
    <w:rsid w:val="004F68D3"/>
    <w:rsid w:val="004F70BA"/>
    <w:rsid w:val="004F710A"/>
    <w:rsid w:val="00504BC8"/>
    <w:rsid w:val="00510276"/>
    <w:rsid w:val="00512E9B"/>
    <w:rsid w:val="00513362"/>
    <w:rsid w:val="00514C2A"/>
    <w:rsid w:val="00520FAA"/>
    <w:rsid w:val="005265FB"/>
    <w:rsid w:val="0052699D"/>
    <w:rsid w:val="00531931"/>
    <w:rsid w:val="00541DD3"/>
    <w:rsid w:val="00542839"/>
    <w:rsid w:val="0054767C"/>
    <w:rsid w:val="00553DDE"/>
    <w:rsid w:val="00555F75"/>
    <w:rsid w:val="00557C08"/>
    <w:rsid w:val="0056517D"/>
    <w:rsid w:val="00566D04"/>
    <w:rsid w:val="00570B99"/>
    <w:rsid w:val="005713F8"/>
    <w:rsid w:val="00575AE0"/>
    <w:rsid w:val="00577A52"/>
    <w:rsid w:val="00586EAA"/>
    <w:rsid w:val="00587ED4"/>
    <w:rsid w:val="00591DB1"/>
    <w:rsid w:val="0059243E"/>
    <w:rsid w:val="0059632E"/>
    <w:rsid w:val="00596DAB"/>
    <w:rsid w:val="005A283B"/>
    <w:rsid w:val="005A3809"/>
    <w:rsid w:val="005A55AB"/>
    <w:rsid w:val="005B2841"/>
    <w:rsid w:val="005B4750"/>
    <w:rsid w:val="005C2204"/>
    <w:rsid w:val="005C5019"/>
    <w:rsid w:val="005F16BA"/>
    <w:rsid w:val="005F5CBF"/>
    <w:rsid w:val="005F76F7"/>
    <w:rsid w:val="00604EB9"/>
    <w:rsid w:val="00613CA0"/>
    <w:rsid w:val="006145B7"/>
    <w:rsid w:val="00621416"/>
    <w:rsid w:val="00622177"/>
    <w:rsid w:val="006237EC"/>
    <w:rsid w:val="00632689"/>
    <w:rsid w:val="00636138"/>
    <w:rsid w:val="006364B2"/>
    <w:rsid w:val="0065221D"/>
    <w:rsid w:val="00664E58"/>
    <w:rsid w:val="00671543"/>
    <w:rsid w:val="0067440D"/>
    <w:rsid w:val="0067520E"/>
    <w:rsid w:val="00676495"/>
    <w:rsid w:val="006810CD"/>
    <w:rsid w:val="006911EB"/>
    <w:rsid w:val="00693B36"/>
    <w:rsid w:val="00694C89"/>
    <w:rsid w:val="006A3C84"/>
    <w:rsid w:val="006C0F16"/>
    <w:rsid w:val="006D5A48"/>
    <w:rsid w:val="006E1EA1"/>
    <w:rsid w:val="006E5CB0"/>
    <w:rsid w:val="006E6454"/>
    <w:rsid w:val="006F5075"/>
    <w:rsid w:val="006F7879"/>
    <w:rsid w:val="0070219A"/>
    <w:rsid w:val="007129F5"/>
    <w:rsid w:val="007153AD"/>
    <w:rsid w:val="00723365"/>
    <w:rsid w:val="007238CD"/>
    <w:rsid w:val="00725EE6"/>
    <w:rsid w:val="00731CCA"/>
    <w:rsid w:val="00735107"/>
    <w:rsid w:val="007411CA"/>
    <w:rsid w:val="0074204F"/>
    <w:rsid w:val="007500A5"/>
    <w:rsid w:val="00752C2A"/>
    <w:rsid w:val="0076100B"/>
    <w:rsid w:val="00761D9E"/>
    <w:rsid w:val="00764C9B"/>
    <w:rsid w:val="00766B25"/>
    <w:rsid w:val="00766B64"/>
    <w:rsid w:val="00787B69"/>
    <w:rsid w:val="007900FB"/>
    <w:rsid w:val="00792EAD"/>
    <w:rsid w:val="00793D75"/>
    <w:rsid w:val="007A4EAC"/>
    <w:rsid w:val="007A6B00"/>
    <w:rsid w:val="007A782F"/>
    <w:rsid w:val="007B2235"/>
    <w:rsid w:val="007B5CBC"/>
    <w:rsid w:val="007B62D4"/>
    <w:rsid w:val="007B6EC9"/>
    <w:rsid w:val="007B715D"/>
    <w:rsid w:val="007C1420"/>
    <w:rsid w:val="007C1AC5"/>
    <w:rsid w:val="007E64CB"/>
    <w:rsid w:val="007E6BD6"/>
    <w:rsid w:val="007E7280"/>
    <w:rsid w:val="007F008B"/>
    <w:rsid w:val="007F109E"/>
    <w:rsid w:val="007F58A6"/>
    <w:rsid w:val="00801782"/>
    <w:rsid w:val="00803886"/>
    <w:rsid w:val="008078BE"/>
    <w:rsid w:val="00813443"/>
    <w:rsid w:val="0081509B"/>
    <w:rsid w:val="00821B54"/>
    <w:rsid w:val="008227B9"/>
    <w:rsid w:val="00822D52"/>
    <w:rsid w:val="00827B44"/>
    <w:rsid w:val="00837501"/>
    <w:rsid w:val="00844DF4"/>
    <w:rsid w:val="00845149"/>
    <w:rsid w:val="00851A0C"/>
    <w:rsid w:val="00852FEA"/>
    <w:rsid w:val="0085377E"/>
    <w:rsid w:val="008620A0"/>
    <w:rsid w:val="008668EB"/>
    <w:rsid w:val="00871EBF"/>
    <w:rsid w:val="008837DD"/>
    <w:rsid w:val="00884CBF"/>
    <w:rsid w:val="0088689B"/>
    <w:rsid w:val="0089235D"/>
    <w:rsid w:val="008A2C57"/>
    <w:rsid w:val="008A56E2"/>
    <w:rsid w:val="008A60CE"/>
    <w:rsid w:val="008A7C2B"/>
    <w:rsid w:val="008B0B54"/>
    <w:rsid w:val="008B139C"/>
    <w:rsid w:val="008C12F0"/>
    <w:rsid w:val="008C2FAD"/>
    <w:rsid w:val="008C35AF"/>
    <w:rsid w:val="008C65D4"/>
    <w:rsid w:val="008E3CF1"/>
    <w:rsid w:val="008E4A58"/>
    <w:rsid w:val="008F110B"/>
    <w:rsid w:val="008F7C12"/>
    <w:rsid w:val="0092201F"/>
    <w:rsid w:val="00927FDF"/>
    <w:rsid w:val="00930EF9"/>
    <w:rsid w:val="009315F9"/>
    <w:rsid w:val="00932538"/>
    <w:rsid w:val="00935302"/>
    <w:rsid w:val="00942085"/>
    <w:rsid w:val="00943C8C"/>
    <w:rsid w:val="009521D4"/>
    <w:rsid w:val="009532B1"/>
    <w:rsid w:val="0095462F"/>
    <w:rsid w:val="00955068"/>
    <w:rsid w:val="00960DEE"/>
    <w:rsid w:val="009666DD"/>
    <w:rsid w:val="00975002"/>
    <w:rsid w:val="0098390E"/>
    <w:rsid w:val="00983CAE"/>
    <w:rsid w:val="00987EB0"/>
    <w:rsid w:val="00990AA6"/>
    <w:rsid w:val="009919D4"/>
    <w:rsid w:val="00994EA3"/>
    <w:rsid w:val="009A40A0"/>
    <w:rsid w:val="009A7980"/>
    <w:rsid w:val="009A7BA4"/>
    <w:rsid w:val="009B04C0"/>
    <w:rsid w:val="009D2036"/>
    <w:rsid w:val="009D6B80"/>
    <w:rsid w:val="009F0734"/>
    <w:rsid w:val="009F25AA"/>
    <w:rsid w:val="009F2DFF"/>
    <w:rsid w:val="00A0433F"/>
    <w:rsid w:val="00A10636"/>
    <w:rsid w:val="00A10645"/>
    <w:rsid w:val="00A14FB8"/>
    <w:rsid w:val="00A2398B"/>
    <w:rsid w:val="00A26BEC"/>
    <w:rsid w:val="00A26C40"/>
    <w:rsid w:val="00A27E83"/>
    <w:rsid w:val="00A3352A"/>
    <w:rsid w:val="00A37EA4"/>
    <w:rsid w:val="00A41CC5"/>
    <w:rsid w:val="00A45241"/>
    <w:rsid w:val="00A47F69"/>
    <w:rsid w:val="00A5468C"/>
    <w:rsid w:val="00A617D2"/>
    <w:rsid w:val="00A81F82"/>
    <w:rsid w:val="00A85797"/>
    <w:rsid w:val="00A86237"/>
    <w:rsid w:val="00A9726E"/>
    <w:rsid w:val="00AA2B6F"/>
    <w:rsid w:val="00AB1BA3"/>
    <w:rsid w:val="00AC121C"/>
    <w:rsid w:val="00AC23B6"/>
    <w:rsid w:val="00AD1CF5"/>
    <w:rsid w:val="00AD610A"/>
    <w:rsid w:val="00AD65F8"/>
    <w:rsid w:val="00AD7516"/>
    <w:rsid w:val="00AE1BDF"/>
    <w:rsid w:val="00AE7533"/>
    <w:rsid w:val="00AF1AF3"/>
    <w:rsid w:val="00AF27B0"/>
    <w:rsid w:val="00AF6E0B"/>
    <w:rsid w:val="00B01834"/>
    <w:rsid w:val="00B026C6"/>
    <w:rsid w:val="00B11AE3"/>
    <w:rsid w:val="00B11E2B"/>
    <w:rsid w:val="00B30128"/>
    <w:rsid w:val="00B37F20"/>
    <w:rsid w:val="00B40CC3"/>
    <w:rsid w:val="00B47DA9"/>
    <w:rsid w:val="00B52AE9"/>
    <w:rsid w:val="00B53EF3"/>
    <w:rsid w:val="00B55AA6"/>
    <w:rsid w:val="00B60C9E"/>
    <w:rsid w:val="00B64BF7"/>
    <w:rsid w:val="00B652AB"/>
    <w:rsid w:val="00B67474"/>
    <w:rsid w:val="00B711F1"/>
    <w:rsid w:val="00B75680"/>
    <w:rsid w:val="00B816C0"/>
    <w:rsid w:val="00B87398"/>
    <w:rsid w:val="00B93E25"/>
    <w:rsid w:val="00BA2003"/>
    <w:rsid w:val="00BA27E4"/>
    <w:rsid w:val="00BA7E1F"/>
    <w:rsid w:val="00BB0F1B"/>
    <w:rsid w:val="00BB2B22"/>
    <w:rsid w:val="00BB60E3"/>
    <w:rsid w:val="00BB7AB4"/>
    <w:rsid w:val="00BC7672"/>
    <w:rsid w:val="00BD0787"/>
    <w:rsid w:val="00BD289D"/>
    <w:rsid w:val="00BE0AC6"/>
    <w:rsid w:val="00BE2407"/>
    <w:rsid w:val="00BE668E"/>
    <w:rsid w:val="00BE7C13"/>
    <w:rsid w:val="00BF4192"/>
    <w:rsid w:val="00C01675"/>
    <w:rsid w:val="00C07C7D"/>
    <w:rsid w:val="00C1131F"/>
    <w:rsid w:val="00C249A9"/>
    <w:rsid w:val="00C322A0"/>
    <w:rsid w:val="00C40350"/>
    <w:rsid w:val="00C44310"/>
    <w:rsid w:val="00C458F0"/>
    <w:rsid w:val="00C46555"/>
    <w:rsid w:val="00C466CE"/>
    <w:rsid w:val="00C5063C"/>
    <w:rsid w:val="00C52B7F"/>
    <w:rsid w:val="00C53FC9"/>
    <w:rsid w:val="00C72681"/>
    <w:rsid w:val="00C751F3"/>
    <w:rsid w:val="00C75671"/>
    <w:rsid w:val="00C76225"/>
    <w:rsid w:val="00C76742"/>
    <w:rsid w:val="00C772E7"/>
    <w:rsid w:val="00C84F4A"/>
    <w:rsid w:val="00C92CA5"/>
    <w:rsid w:val="00C95001"/>
    <w:rsid w:val="00C97539"/>
    <w:rsid w:val="00CA1385"/>
    <w:rsid w:val="00CA3DDE"/>
    <w:rsid w:val="00CA69B4"/>
    <w:rsid w:val="00CB0B4F"/>
    <w:rsid w:val="00CB367B"/>
    <w:rsid w:val="00CC0D24"/>
    <w:rsid w:val="00CC1247"/>
    <w:rsid w:val="00CC2956"/>
    <w:rsid w:val="00CC73CF"/>
    <w:rsid w:val="00CD77A5"/>
    <w:rsid w:val="00CE7F86"/>
    <w:rsid w:val="00CF4BB6"/>
    <w:rsid w:val="00CF750D"/>
    <w:rsid w:val="00D03DC5"/>
    <w:rsid w:val="00D0408B"/>
    <w:rsid w:val="00D05142"/>
    <w:rsid w:val="00D0528E"/>
    <w:rsid w:val="00D12BF2"/>
    <w:rsid w:val="00D12EAA"/>
    <w:rsid w:val="00D222FA"/>
    <w:rsid w:val="00D25DC0"/>
    <w:rsid w:val="00D272AB"/>
    <w:rsid w:val="00D27613"/>
    <w:rsid w:val="00D30B42"/>
    <w:rsid w:val="00D30EA8"/>
    <w:rsid w:val="00D313AC"/>
    <w:rsid w:val="00D34024"/>
    <w:rsid w:val="00D36001"/>
    <w:rsid w:val="00D3735E"/>
    <w:rsid w:val="00D40943"/>
    <w:rsid w:val="00D44AAC"/>
    <w:rsid w:val="00D515E6"/>
    <w:rsid w:val="00D54120"/>
    <w:rsid w:val="00D54F8B"/>
    <w:rsid w:val="00D557F1"/>
    <w:rsid w:val="00D602C9"/>
    <w:rsid w:val="00D816C6"/>
    <w:rsid w:val="00D81B40"/>
    <w:rsid w:val="00D831BF"/>
    <w:rsid w:val="00D8320F"/>
    <w:rsid w:val="00D86DE8"/>
    <w:rsid w:val="00D87B7A"/>
    <w:rsid w:val="00D97F1C"/>
    <w:rsid w:val="00DA11F8"/>
    <w:rsid w:val="00DA37BF"/>
    <w:rsid w:val="00DB2EAC"/>
    <w:rsid w:val="00DC325D"/>
    <w:rsid w:val="00DC5226"/>
    <w:rsid w:val="00DC5752"/>
    <w:rsid w:val="00DC604F"/>
    <w:rsid w:val="00DE0BF9"/>
    <w:rsid w:val="00DE377C"/>
    <w:rsid w:val="00DE4BE6"/>
    <w:rsid w:val="00E025D5"/>
    <w:rsid w:val="00E15101"/>
    <w:rsid w:val="00E156DA"/>
    <w:rsid w:val="00E15FDD"/>
    <w:rsid w:val="00E26498"/>
    <w:rsid w:val="00E3062A"/>
    <w:rsid w:val="00E30F6A"/>
    <w:rsid w:val="00E31E3C"/>
    <w:rsid w:val="00E34D88"/>
    <w:rsid w:val="00E374BA"/>
    <w:rsid w:val="00E37F6D"/>
    <w:rsid w:val="00E46318"/>
    <w:rsid w:val="00E6352B"/>
    <w:rsid w:val="00E67BA6"/>
    <w:rsid w:val="00E7063A"/>
    <w:rsid w:val="00E71C41"/>
    <w:rsid w:val="00E76A50"/>
    <w:rsid w:val="00E8202E"/>
    <w:rsid w:val="00E86836"/>
    <w:rsid w:val="00EA03E8"/>
    <w:rsid w:val="00EA0C53"/>
    <w:rsid w:val="00EA1447"/>
    <w:rsid w:val="00EA2AFD"/>
    <w:rsid w:val="00EA40C8"/>
    <w:rsid w:val="00EA511F"/>
    <w:rsid w:val="00EA6C44"/>
    <w:rsid w:val="00EB7406"/>
    <w:rsid w:val="00EC05DB"/>
    <w:rsid w:val="00EC37E2"/>
    <w:rsid w:val="00EC58A0"/>
    <w:rsid w:val="00ED1907"/>
    <w:rsid w:val="00ED2407"/>
    <w:rsid w:val="00ED3361"/>
    <w:rsid w:val="00ED3E5B"/>
    <w:rsid w:val="00ED6158"/>
    <w:rsid w:val="00ED6F0C"/>
    <w:rsid w:val="00EE2A79"/>
    <w:rsid w:val="00EF461A"/>
    <w:rsid w:val="00EF78EE"/>
    <w:rsid w:val="00F01A4D"/>
    <w:rsid w:val="00F0228E"/>
    <w:rsid w:val="00F0251D"/>
    <w:rsid w:val="00F14C7F"/>
    <w:rsid w:val="00F1661C"/>
    <w:rsid w:val="00F24015"/>
    <w:rsid w:val="00F304EF"/>
    <w:rsid w:val="00F35418"/>
    <w:rsid w:val="00F40584"/>
    <w:rsid w:val="00F44C41"/>
    <w:rsid w:val="00F606D4"/>
    <w:rsid w:val="00F61F37"/>
    <w:rsid w:val="00F635E3"/>
    <w:rsid w:val="00F67DB5"/>
    <w:rsid w:val="00F71C54"/>
    <w:rsid w:val="00F72EFC"/>
    <w:rsid w:val="00F76972"/>
    <w:rsid w:val="00F92312"/>
    <w:rsid w:val="00F95624"/>
    <w:rsid w:val="00F9627B"/>
    <w:rsid w:val="00F96B21"/>
    <w:rsid w:val="00FA00E3"/>
    <w:rsid w:val="00FA2E57"/>
    <w:rsid w:val="00FA69A3"/>
    <w:rsid w:val="00FB1743"/>
    <w:rsid w:val="00FD1392"/>
    <w:rsid w:val="00FD3D21"/>
    <w:rsid w:val="00FE23AA"/>
    <w:rsid w:val="00FE5C7A"/>
    <w:rsid w:val="00FE75D6"/>
    <w:rsid w:val="00FE7805"/>
    <w:rsid w:val="00FF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9853B4"/>
  <w15:chartTrackingRefBased/>
  <w15:docId w15:val="{AF2DC69D-5E1F-41FC-9CC7-FC4F1352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92EAD"/>
    <w:pPr>
      <w:snapToGrid w:val="0"/>
      <w:jc w:val="left"/>
    </w:pPr>
  </w:style>
  <w:style w:type="character" w:customStyle="1" w:styleId="a4">
    <w:name w:val="脚注文字列 (文字)"/>
    <w:basedOn w:val="a0"/>
    <w:link w:val="a3"/>
    <w:uiPriority w:val="99"/>
    <w:semiHidden/>
    <w:rsid w:val="00792EAD"/>
  </w:style>
  <w:style w:type="character" w:styleId="a5">
    <w:name w:val="footnote reference"/>
    <w:basedOn w:val="a0"/>
    <w:uiPriority w:val="99"/>
    <w:semiHidden/>
    <w:unhideWhenUsed/>
    <w:rsid w:val="00792EAD"/>
    <w:rPr>
      <w:vertAlign w:val="superscript"/>
    </w:rPr>
  </w:style>
  <w:style w:type="paragraph" w:styleId="a6">
    <w:name w:val="endnote text"/>
    <w:basedOn w:val="a"/>
    <w:link w:val="a7"/>
    <w:uiPriority w:val="99"/>
    <w:semiHidden/>
    <w:unhideWhenUsed/>
    <w:rsid w:val="00792EAD"/>
    <w:pPr>
      <w:snapToGrid w:val="0"/>
      <w:jc w:val="left"/>
    </w:pPr>
  </w:style>
  <w:style w:type="character" w:customStyle="1" w:styleId="a7">
    <w:name w:val="文末脚注文字列 (文字)"/>
    <w:basedOn w:val="a0"/>
    <w:link w:val="a6"/>
    <w:uiPriority w:val="99"/>
    <w:semiHidden/>
    <w:rsid w:val="00792EAD"/>
  </w:style>
  <w:style w:type="character" w:styleId="a8">
    <w:name w:val="endnote reference"/>
    <w:basedOn w:val="a0"/>
    <w:uiPriority w:val="99"/>
    <w:semiHidden/>
    <w:unhideWhenUsed/>
    <w:rsid w:val="00792EAD"/>
    <w:rPr>
      <w:vertAlign w:val="superscript"/>
    </w:rPr>
  </w:style>
  <w:style w:type="character" w:styleId="a9">
    <w:name w:val="annotation reference"/>
    <w:basedOn w:val="a0"/>
    <w:uiPriority w:val="99"/>
    <w:semiHidden/>
    <w:unhideWhenUsed/>
    <w:rsid w:val="004C01EB"/>
    <w:rPr>
      <w:sz w:val="18"/>
      <w:szCs w:val="18"/>
    </w:rPr>
  </w:style>
  <w:style w:type="paragraph" w:styleId="aa">
    <w:name w:val="annotation text"/>
    <w:basedOn w:val="a"/>
    <w:link w:val="ab"/>
    <w:uiPriority w:val="99"/>
    <w:semiHidden/>
    <w:unhideWhenUsed/>
    <w:rsid w:val="004C01EB"/>
    <w:pPr>
      <w:jc w:val="left"/>
    </w:pPr>
  </w:style>
  <w:style w:type="character" w:customStyle="1" w:styleId="ab">
    <w:name w:val="コメント文字列 (文字)"/>
    <w:basedOn w:val="a0"/>
    <w:link w:val="aa"/>
    <w:uiPriority w:val="99"/>
    <w:semiHidden/>
    <w:rsid w:val="004C01EB"/>
  </w:style>
  <w:style w:type="paragraph" w:styleId="ac">
    <w:name w:val="annotation subject"/>
    <w:basedOn w:val="aa"/>
    <w:next w:val="aa"/>
    <w:link w:val="ad"/>
    <w:uiPriority w:val="99"/>
    <w:semiHidden/>
    <w:unhideWhenUsed/>
    <w:rsid w:val="004C01EB"/>
    <w:rPr>
      <w:b/>
      <w:bCs/>
    </w:rPr>
  </w:style>
  <w:style w:type="character" w:customStyle="1" w:styleId="ad">
    <w:name w:val="コメント内容 (文字)"/>
    <w:basedOn w:val="ab"/>
    <w:link w:val="ac"/>
    <w:uiPriority w:val="99"/>
    <w:semiHidden/>
    <w:rsid w:val="004C01EB"/>
    <w:rPr>
      <w:b/>
      <w:bCs/>
    </w:rPr>
  </w:style>
  <w:style w:type="paragraph" w:styleId="ae">
    <w:name w:val="Balloon Text"/>
    <w:basedOn w:val="a"/>
    <w:link w:val="af"/>
    <w:uiPriority w:val="99"/>
    <w:semiHidden/>
    <w:unhideWhenUsed/>
    <w:rsid w:val="004C01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01EB"/>
    <w:rPr>
      <w:rFonts w:asciiTheme="majorHAnsi" w:eastAsiaTheme="majorEastAsia" w:hAnsiTheme="majorHAnsi" w:cstheme="majorBidi"/>
      <w:sz w:val="18"/>
      <w:szCs w:val="18"/>
    </w:rPr>
  </w:style>
  <w:style w:type="paragraph" w:styleId="af0">
    <w:name w:val="List Paragraph"/>
    <w:basedOn w:val="a"/>
    <w:uiPriority w:val="34"/>
    <w:qFormat/>
    <w:rsid w:val="00DC325D"/>
    <w:pPr>
      <w:ind w:leftChars="400" w:left="840"/>
    </w:pPr>
  </w:style>
  <w:style w:type="paragraph" w:styleId="af1">
    <w:name w:val="header"/>
    <w:basedOn w:val="a"/>
    <w:link w:val="af2"/>
    <w:uiPriority w:val="99"/>
    <w:unhideWhenUsed/>
    <w:rsid w:val="004329B6"/>
    <w:pPr>
      <w:tabs>
        <w:tab w:val="center" w:pos="4252"/>
        <w:tab w:val="right" w:pos="8504"/>
      </w:tabs>
      <w:snapToGrid w:val="0"/>
    </w:pPr>
  </w:style>
  <w:style w:type="character" w:customStyle="1" w:styleId="af2">
    <w:name w:val="ヘッダー (文字)"/>
    <w:basedOn w:val="a0"/>
    <w:link w:val="af1"/>
    <w:uiPriority w:val="99"/>
    <w:rsid w:val="004329B6"/>
  </w:style>
  <w:style w:type="paragraph" w:styleId="af3">
    <w:name w:val="footer"/>
    <w:basedOn w:val="a"/>
    <w:link w:val="af4"/>
    <w:uiPriority w:val="99"/>
    <w:unhideWhenUsed/>
    <w:rsid w:val="004329B6"/>
    <w:pPr>
      <w:tabs>
        <w:tab w:val="center" w:pos="4252"/>
        <w:tab w:val="right" w:pos="8504"/>
      </w:tabs>
      <w:snapToGrid w:val="0"/>
    </w:pPr>
  </w:style>
  <w:style w:type="character" w:customStyle="1" w:styleId="af4">
    <w:name w:val="フッター (文字)"/>
    <w:basedOn w:val="a0"/>
    <w:link w:val="af3"/>
    <w:uiPriority w:val="99"/>
    <w:rsid w:val="004329B6"/>
  </w:style>
  <w:style w:type="character" w:styleId="af5">
    <w:name w:val="Hyperlink"/>
    <w:basedOn w:val="a0"/>
    <w:uiPriority w:val="99"/>
    <w:unhideWhenUsed/>
    <w:rsid w:val="00C52B7F"/>
    <w:rPr>
      <w:color w:val="0563C1" w:themeColor="hyperlink"/>
      <w:u w:val="single"/>
    </w:rPr>
  </w:style>
  <w:style w:type="character" w:styleId="af6">
    <w:name w:val="FollowedHyperlink"/>
    <w:basedOn w:val="a0"/>
    <w:uiPriority w:val="99"/>
    <w:semiHidden/>
    <w:unhideWhenUsed/>
    <w:rsid w:val="00C52B7F"/>
    <w:rPr>
      <w:color w:val="954F72" w:themeColor="followedHyperlink"/>
      <w:u w:val="single"/>
    </w:rPr>
  </w:style>
  <w:style w:type="paragraph" w:styleId="af7">
    <w:name w:val="Date"/>
    <w:basedOn w:val="a"/>
    <w:next w:val="a"/>
    <w:link w:val="af8"/>
    <w:uiPriority w:val="99"/>
    <w:semiHidden/>
    <w:unhideWhenUsed/>
    <w:rsid w:val="006237EC"/>
  </w:style>
  <w:style w:type="character" w:customStyle="1" w:styleId="af8">
    <w:name w:val="日付 (文字)"/>
    <w:basedOn w:val="a0"/>
    <w:link w:val="af7"/>
    <w:uiPriority w:val="99"/>
    <w:semiHidden/>
    <w:rsid w:val="0062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8BBC-F24D-4688-840D-E09D0B6B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16335</Words>
  <Characters>575</Characters>
  <Application>Microsoft Office Word</Application>
  <DocSecurity>0</DocSecurity>
  <Lines>4</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dc:creator>
  <cp:keywords/>
  <dc:description/>
  <cp:lastModifiedBy>Araki</cp:lastModifiedBy>
  <cp:revision>3</cp:revision>
  <dcterms:created xsi:type="dcterms:W3CDTF">2019-06-03T07:49:00Z</dcterms:created>
  <dcterms:modified xsi:type="dcterms:W3CDTF">2019-08-09T06:21:00Z</dcterms:modified>
</cp:coreProperties>
</file>